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77A8" w14:textId="1DCFABC7" w:rsidR="00755362" w:rsidRPr="00015F25" w:rsidRDefault="00B15F4A" w:rsidP="00755362">
      <w:pPr>
        <w:pStyle w:val="CCCMcontentheading1"/>
        <w:spacing w:before="0" w:after="0"/>
        <w:jc w:val="center"/>
        <w:rPr>
          <w:lang w:val="en-US"/>
        </w:rPr>
      </w:pPr>
      <w:r>
        <w:rPr>
          <w:lang w:val="en-US"/>
        </w:rPr>
        <w:t>S</w:t>
      </w:r>
      <w:r w:rsidR="00755362" w:rsidRPr="00015F25">
        <w:rPr>
          <w:lang w:val="en-US"/>
        </w:rPr>
        <w:t>M</w:t>
      </w:r>
      <w:r w:rsidR="00755362">
        <w:rPr>
          <w:lang w:val="en-US"/>
        </w:rPr>
        <w:t xml:space="preserve"> </w:t>
      </w:r>
      <w:r w:rsidR="00755362" w:rsidRPr="00015F25">
        <w:rPr>
          <w:lang w:val="en-US"/>
        </w:rPr>
        <w:t xml:space="preserve">CHECKLIST FOR SPONTANEOUS </w:t>
      </w:r>
    </w:p>
    <w:p w14:paraId="63449FB0" w14:textId="348CA3FC" w:rsidR="00755362" w:rsidRPr="004F4EFD" w:rsidRDefault="00755362" w:rsidP="004F4EFD">
      <w:pPr>
        <w:pStyle w:val="CCCMcontentheading1"/>
        <w:spacing w:before="0"/>
        <w:jc w:val="center"/>
        <w:rPr>
          <w:lang w:val="en-US"/>
        </w:rPr>
      </w:pPr>
      <w:r w:rsidRPr="00015F25">
        <w:rPr>
          <w:lang w:val="en-US"/>
        </w:rPr>
        <w:t>RETURN/LOCAL INTEGRATION/RESETTLEMENT</w:t>
      </w:r>
    </w:p>
    <w:p w14:paraId="5AAF0BFC" w14:textId="77777777" w:rsidR="00755362" w:rsidRPr="00015F25" w:rsidRDefault="00755362" w:rsidP="00755362">
      <w:pPr>
        <w:autoSpaceDE w:val="0"/>
        <w:autoSpaceDN w:val="0"/>
        <w:adjustRightInd w:val="0"/>
        <w:jc w:val="both"/>
        <w:rPr>
          <w:color w:val="404040"/>
        </w:rPr>
      </w:pPr>
      <w:r>
        <w:rPr>
          <w:color w:val="404040"/>
        </w:rPr>
        <w:t xml:space="preserve">The definition </w:t>
      </w:r>
      <w:r w:rsidRPr="00202D14">
        <w:rPr>
          <w:b/>
          <w:color w:val="404040"/>
        </w:rPr>
        <w:t>spontaneous</w:t>
      </w:r>
      <w:r>
        <w:rPr>
          <w:color w:val="404040"/>
        </w:rPr>
        <w:t xml:space="preserve"> return, local integration or resettlement describes a situation where the d</w:t>
      </w:r>
      <w:r w:rsidRPr="00015F25">
        <w:rPr>
          <w:color w:val="404040"/>
        </w:rPr>
        <w:t>isplaced population voluntarily</w:t>
      </w:r>
      <w:r>
        <w:rPr>
          <w:color w:val="404040"/>
        </w:rPr>
        <w:t xml:space="preserve"> returns to their home areas, </w:t>
      </w:r>
      <w:r w:rsidRPr="00015F25">
        <w:rPr>
          <w:color w:val="404040"/>
        </w:rPr>
        <w:t xml:space="preserve">integrate into the local </w:t>
      </w:r>
      <w:proofErr w:type="gramStart"/>
      <w:r w:rsidRPr="00015F25">
        <w:rPr>
          <w:color w:val="404040"/>
        </w:rPr>
        <w:t>community</w:t>
      </w:r>
      <w:proofErr w:type="gramEnd"/>
      <w:r w:rsidRPr="00015F25">
        <w:rPr>
          <w:color w:val="404040"/>
        </w:rPr>
        <w:t xml:space="preserve"> </w:t>
      </w:r>
      <w:r>
        <w:rPr>
          <w:color w:val="404040"/>
        </w:rPr>
        <w:t xml:space="preserve">or relocate to other areas </w:t>
      </w:r>
      <w:r w:rsidRPr="00015F25">
        <w:rPr>
          <w:color w:val="404040"/>
        </w:rPr>
        <w:t>without assistance or persuasion from external agencies.</w:t>
      </w:r>
    </w:p>
    <w:p w14:paraId="086BB5B7" w14:textId="77777777" w:rsidR="00755362" w:rsidRPr="00015F25" w:rsidRDefault="00755362" w:rsidP="00755362">
      <w:pPr>
        <w:autoSpaceDE w:val="0"/>
        <w:autoSpaceDN w:val="0"/>
        <w:adjustRightInd w:val="0"/>
        <w:jc w:val="both"/>
        <w:rPr>
          <w:color w:val="404040"/>
        </w:rPr>
      </w:pPr>
    </w:p>
    <w:p w14:paraId="2726E7ED" w14:textId="77777777" w:rsidR="00755362" w:rsidRDefault="00755362" w:rsidP="00755362">
      <w:pPr>
        <w:autoSpaceDE w:val="0"/>
        <w:autoSpaceDN w:val="0"/>
        <w:adjustRightInd w:val="0"/>
        <w:jc w:val="both"/>
        <w:rPr>
          <w:color w:val="404040"/>
        </w:rPr>
      </w:pPr>
      <w:r w:rsidRPr="00015F25">
        <w:rPr>
          <w:color w:val="404040"/>
        </w:rPr>
        <w:t>Spontaneous return</w:t>
      </w:r>
      <w:r>
        <w:rPr>
          <w:color w:val="404040"/>
        </w:rPr>
        <w:t>/local integration/resettlement</w:t>
      </w:r>
      <w:r w:rsidRPr="00015F25">
        <w:rPr>
          <w:color w:val="404040"/>
        </w:rPr>
        <w:t xml:space="preserve"> may be triggered by changes in the home</w:t>
      </w:r>
      <w:r>
        <w:rPr>
          <w:color w:val="404040"/>
        </w:rPr>
        <w:t xml:space="preserve"> </w:t>
      </w:r>
      <w:r w:rsidRPr="00015F25">
        <w:rPr>
          <w:color w:val="404040"/>
        </w:rPr>
        <w:t xml:space="preserve">areas or in the areas of displacement. </w:t>
      </w:r>
    </w:p>
    <w:p w14:paraId="1A9C3CA7" w14:textId="77777777" w:rsidR="00755362" w:rsidRDefault="00755362" w:rsidP="00755362">
      <w:pPr>
        <w:autoSpaceDE w:val="0"/>
        <w:autoSpaceDN w:val="0"/>
        <w:adjustRightInd w:val="0"/>
        <w:jc w:val="both"/>
        <w:rPr>
          <w:color w:val="404040"/>
        </w:rPr>
      </w:pPr>
    </w:p>
    <w:p w14:paraId="12572B3F" w14:textId="75F0DE4A" w:rsidR="00755362" w:rsidRDefault="00755362" w:rsidP="00755362">
      <w:pPr>
        <w:autoSpaceDE w:val="0"/>
        <w:autoSpaceDN w:val="0"/>
        <w:adjustRightInd w:val="0"/>
        <w:jc w:val="both"/>
        <w:rPr>
          <w:color w:val="404040"/>
        </w:rPr>
      </w:pPr>
      <w:r>
        <w:rPr>
          <w:color w:val="404040"/>
        </w:rPr>
        <w:t xml:space="preserve">The responsibilities of the </w:t>
      </w:r>
      <w:r w:rsidR="00B15F4A">
        <w:rPr>
          <w:color w:val="404040"/>
        </w:rPr>
        <w:t>S</w:t>
      </w:r>
      <w:r>
        <w:rPr>
          <w:color w:val="404040"/>
        </w:rPr>
        <w:t xml:space="preserve">M agency are listed in the below checklist. But it is important to note that due to the unplanned nature of such a spontaneous situation, the </w:t>
      </w:r>
      <w:r w:rsidR="00B15F4A">
        <w:rPr>
          <w:color w:val="404040"/>
        </w:rPr>
        <w:t>S</w:t>
      </w:r>
      <w:r>
        <w:rPr>
          <w:color w:val="404040"/>
        </w:rPr>
        <w:t xml:space="preserve">M agency may not always have the available funding, </w:t>
      </w:r>
      <w:proofErr w:type="gramStart"/>
      <w:r>
        <w:rPr>
          <w:color w:val="404040"/>
        </w:rPr>
        <w:t>resources</w:t>
      </w:r>
      <w:proofErr w:type="gramEnd"/>
      <w:r>
        <w:rPr>
          <w:color w:val="404040"/>
        </w:rPr>
        <w:t xml:space="preserve"> and capacity at hand to fulfil these responsibilities at the time. </w:t>
      </w:r>
      <w:proofErr w:type="gramStart"/>
      <w:r>
        <w:rPr>
          <w:color w:val="404040"/>
        </w:rPr>
        <w:t>Thus</w:t>
      </w:r>
      <w:proofErr w:type="gramEnd"/>
      <w:r>
        <w:rPr>
          <w:color w:val="404040"/>
        </w:rPr>
        <w:t xml:space="preserve"> the </w:t>
      </w:r>
      <w:r w:rsidR="00B15F4A">
        <w:rPr>
          <w:color w:val="404040"/>
        </w:rPr>
        <w:t>S</w:t>
      </w:r>
      <w:r>
        <w:rPr>
          <w:color w:val="404040"/>
        </w:rPr>
        <w:t xml:space="preserve">M agency should aim to implement all the below tasks as far as possible:  </w:t>
      </w:r>
    </w:p>
    <w:p w14:paraId="7DE9A1A8" w14:textId="77777777" w:rsidR="00755362" w:rsidRDefault="00755362" w:rsidP="00755362">
      <w:pPr>
        <w:autoSpaceDE w:val="0"/>
        <w:autoSpaceDN w:val="0"/>
        <w:adjustRightInd w:val="0"/>
        <w:jc w:val="both"/>
        <w:rPr>
          <w:color w:val="404040"/>
        </w:rPr>
      </w:pPr>
    </w:p>
    <w:p w14:paraId="3522C71C" w14:textId="77777777" w:rsidR="00755362" w:rsidRDefault="00755362" w:rsidP="00755362">
      <w:pPr>
        <w:autoSpaceDE w:val="0"/>
        <w:autoSpaceDN w:val="0"/>
        <w:adjustRightInd w:val="0"/>
        <w:jc w:val="both"/>
        <w:rPr>
          <w:color w:val="404040"/>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4426"/>
        <w:gridCol w:w="817"/>
        <w:gridCol w:w="815"/>
      </w:tblGrid>
      <w:tr w:rsidR="00755362" w:rsidRPr="006B0870" w14:paraId="20322F6D" w14:textId="77777777" w:rsidTr="00755362">
        <w:trPr>
          <w:trHeight w:val="188"/>
        </w:trPr>
        <w:tc>
          <w:tcPr>
            <w:tcW w:w="3332" w:type="dxa"/>
            <w:shd w:val="clear" w:color="auto" w:fill="DAEEF3"/>
          </w:tcPr>
          <w:p w14:paraId="123D51FE" w14:textId="226FB039" w:rsidR="00755362" w:rsidRPr="006B0870" w:rsidRDefault="00B15F4A" w:rsidP="003869F4">
            <w:pPr>
              <w:spacing w:before="120"/>
              <w:jc w:val="center"/>
              <w:rPr>
                <w:b/>
                <w:color w:val="404040"/>
              </w:rPr>
            </w:pPr>
            <w:r>
              <w:rPr>
                <w:b/>
                <w:color w:val="404040"/>
              </w:rPr>
              <w:t>S</w:t>
            </w:r>
            <w:r w:rsidR="00755362" w:rsidRPr="006B0870">
              <w:rPr>
                <w:b/>
                <w:color w:val="404040"/>
              </w:rPr>
              <w:t>M responsibility</w:t>
            </w:r>
          </w:p>
        </w:tc>
        <w:tc>
          <w:tcPr>
            <w:tcW w:w="4426" w:type="dxa"/>
            <w:shd w:val="clear" w:color="auto" w:fill="DAEEF3"/>
          </w:tcPr>
          <w:p w14:paraId="557F486D" w14:textId="77777777" w:rsidR="00755362" w:rsidRPr="006B0870" w:rsidRDefault="00755362" w:rsidP="003869F4">
            <w:pPr>
              <w:spacing w:before="120"/>
              <w:jc w:val="center"/>
              <w:rPr>
                <w:b/>
                <w:color w:val="404040"/>
              </w:rPr>
            </w:pPr>
            <w:r w:rsidRPr="006B0870">
              <w:rPr>
                <w:b/>
                <w:color w:val="404040"/>
              </w:rPr>
              <w:t>Details</w:t>
            </w:r>
          </w:p>
        </w:tc>
        <w:tc>
          <w:tcPr>
            <w:tcW w:w="817" w:type="dxa"/>
            <w:shd w:val="clear" w:color="auto" w:fill="DAEEF3"/>
          </w:tcPr>
          <w:p w14:paraId="0F0A5E8F" w14:textId="77777777" w:rsidR="00755362" w:rsidRPr="006B0870" w:rsidRDefault="00755362" w:rsidP="003869F4">
            <w:pPr>
              <w:spacing w:before="120"/>
              <w:jc w:val="center"/>
              <w:rPr>
                <w:b/>
                <w:color w:val="404040"/>
              </w:rPr>
            </w:pPr>
            <w:r w:rsidRPr="006B0870">
              <w:rPr>
                <w:b/>
                <w:color w:val="404040"/>
              </w:rPr>
              <w:t>Yes</w:t>
            </w:r>
          </w:p>
        </w:tc>
        <w:tc>
          <w:tcPr>
            <w:tcW w:w="815" w:type="dxa"/>
            <w:shd w:val="clear" w:color="auto" w:fill="DAEEF3"/>
          </w:tcPr>
          <w:p w14:paraId="1BDA4913" w14:textId="77777777" w:rsidR="00755362" w:rsidRPr="006B0870" w:rsidRDefault="00755362" w:rsidP="003869F4">
            <w:pPr>
              <w:spacing w:before="120"/>
              <w:jc w:val="center"/>
              <w:rPr>
                <w:b/>
                <w:color w:val="404040"/>
              </w:rPr>
            </w:pPr>
            <w:r w:rsidRPr="006B0870">
              <w:rPr>
                <w:b/>
                <w:color w:val="404040"/>
              </w:rPr>
              <w:t>No</w:t>
            </w:r>
          </w:p>
        </w:tc>
      </w:tr>
      <w:tr w:rsidR="00755362" w:rsidRPr="006B0870" w14:paraId="4996154A" w14:textId="77777777" w:rsidTr="00755362">
        <w:trPr>
          <w:trHeight w:val="819"/>
        </w:trPr>
        <w:tc>
          <w:tcPr>
            <w:tcW w:w="3332" w:type="dxa"/>
          </w:tcPr>
          <w:p w14:paraId="4052340D" w14:textId="6B102B2C" w:rsidR="00755362" w:rsidRPr="006B0870" w:rsidRDefault="00755362" w:rsidP="003869F4">
            <w:pPr>
              <w:rPr>
                <w:color w:val="404040"/>
              </w:rPr>
            </w:pPr>
            <w:r w:rsidRPr="006B0870">
              <w:rPr>
                <w:color w:val="404040"/>
              </w:rPr>
              <w:t xml:space="preserve">Identify motivations for departure from the </w:t>
            </w:r>
            <w:r w:rsidR="00B15F4A">
              <w:rPr>
                <w:color w:val="404040"/>
              </w:rPr>
              <w:t>site</w:t>
            </w:r>
            <w:r w:rsidRPr="006B0870">
              <w:rPr>
                <w:color w:val="404040"/>
              </w:rPr>
              <w:t xml:space="preserve">. </w:t>
            </w:r>
          </w:p>
        </w:tc>
        <w:tc>
          <w:tcPr>
            <w:tcW w:w="4426" w:type="dxa"/>
          </w:tcPr>
          <w:p w14:paraId="3F37CD1A" w14:textId="691FB8A3" w:rsidR="00755362" w:rsidRDefault="00755362" w:rsidP="003869F4">
            <w:pPr>
              <w:rPr>
                <w:color w:val="404040"/>
              </w:rPr>
            </w:pPr>
            <w:r w:rsidRPr="006B0870">
              <w:rPr>
                <w:color w:val="404040"/>
              </w:rPr>
              <w:t xml:space="preserve">This may highlight other issues, such as political or military motivations or increased tensions in the </w:t>
            </w:r>
            <w:r w:rsidR="00B15F4A">
              <w:rPr>
                <w:color w:val="404040"/>
              </w:rPr>
              <w:t>site</w:t>
            </w:r>
            <w:r w:rsidRPr="006B0870">
              <w:rPr>
                <w:color w:val="404040"/>
              </w:rPr>
              <w:t>. Overall conditions such as insufficient resources and services may also force people to leave.</w:t>
            </w:r>
          </w:p>
          <w:p w14:paraId="2CA3AD31" w14:textId="60F201B1" w:rsidR="00755362" w:rsidRPr="006B0870" w:rsidRDefault="00755362" w:rsidP="003869F4">
            <w:pPr>
              <w:rPr>
                <w:color w:val="404040"/>
              </w:rPr>
            </w:pPr>
          </w:p>
        </w:tc>
        <w:tc>
          <w:tcPr>
            <w:tcW w:w="817" w:type="dxa"/>
          </w:tcPr>
          <w:p w14:paraId="1E37FBCE" w14:textId="77777777" w:rsidR="00755362" w:rsidRPr="006B0870" w:rsidRDefault="00755362" w:rsidP="003869F4">
            <w:pPr>
              <w:jc w:val="both"/>
              <w:rPr>
                <w:color w:val="404040"/>
              </w:rPr>
            </w:pPr>
          </w:p>
        </w:tc>
        <w:tc>
          <w:tcPr>
            <w:tcW w:w="815" w:type="dxa"/>
          </w:tcPr>
          <w:p w14:paraId="64C3E0DB" w14:textId="77777777" w:rsidR="00755362" w:rsidRPr="006B0870" w:rsidRDefault="00755362" w:rsidP="003869F4">
            <w:pPr>
              <w:jc w:val="both"/>
              <w:rPr>
                <w:color w:val="404040"/>
              </w:rPr>
            </w:pPr>
          </w:p>
        </w:tc>
      </w:tr>
      <w:tr w:rsidR="00755362" w:rsidRPr="006B0870" w14:paraId="27B1EA16" w14:textId="77777777" w:rsidTr="00755362">
        <w:trPr>
          <w:trHeight w:val="952"/>
        </w:trPr>
        <w:tc>
          <w:tcPr>
            <w:tcW w:w="3332" w:type="dxa"/>
          </w:tcPr>
          <w:p w14:paraId="1DBB88A8" w14:textId="77777777" w:rsidR="00755362" w:rsidRPr="006B0870" w:rsidRDefault="00755362" w:rsidP="003869F4">
            <w:pPr>
              <w:rPr>
                <w:color w:val="404040"/>
              </w:rPr>
            </w:pPr>
            <w:r>
              <w:rPr>
                <w:color w:val="404040"/>
              </w:rPr>
              <w:t>De</w:t>
            </w:r>
            <w:r w:rsidRPr="006B0870">
              <w:rPr>
                <w:color w:val="404040"/>
              </w:rPr>
              <w:t>register, transfer or destroy personal data of the displaced</w:t>
            </w:r>
          </w:p>
        </w:tc>
        <w:tc>
          <w:tcPr>
            <w:tcW w:w="4426" w:type="dxa"/>
          </w:tcPr>
          <w:p w14:paraId="31ADBCDA" w14:textId="77777777" w:rsidR="00755362" w:rsidRDefault="00755362" w:rsidP="003869F4">
            <w:pPr>
              <w:rPr>
                <w:color w:val="404040"/>
              </w:rPr>
            </w:pPr>
            <w:r>
              <w:rPr>
                <w:color w:val="404040"/>
              </w:rPr>
              <w:t xml:space="preserve">As part of the deregistration process, the personal data should be transferred if possible to the relevant protection agencies in the new location, or if not possible destroyed. If they are transferred it is critical that this process respects the principles of confidentiality. </w:t>
            </w:r>
          </w:p>
          <w:p w14:paraId="3E766787" w14:textId="5AC42434" w:rsidR="00755362" w:rsidRPr="006B0870" w:rsidRDefault="00755362" w:rsidP="003869F4">
            <w:pPr>
              <w:rPr>
                <w:color w:val="404040"/>
              </w:rPr>
            </w:pPr>
          </w:p>
        </w:tc>
        <w:tc>
          <w:tcPr>
            <w:tcW w:w="817" w:type="dxa"/>
          </w:tcPr>
          <w:p w14:paraId="5F6E7F5B" w14:textId="77777777" w:rsidR="00755362" w:rsidRPr="006B0870" w:rsidRDefault="00755362" w:rsidP="003869F4">
            <w:pPr>
              <w:jc w:val="both"/>
              <w:rPr>
                <w:color w:val="404040"/>
              </w:rPr>
            </w:pPr>
          </w:p>
        </w:tc>
        <w:tc>
          <w:tcPr>
            <w:tcW w:w="815" w:type="dxa"/>
          </w:tcPr>
          <w:p w14:paraId="2D18B3AE" w14:textId="77777777" w:rsidR="00755362" w:rsidRPr="006B0870" w:rsidRDefault="00755362" w:rsidP="003869F4">
            <w:pPr>
              <w:jc w:val="both"/>
              <w:rPr>
                <w:color w:val="404040"/>
              </w:rPr>
            </w:pPr>
          </w:p>
        </w:tc>
      </w:tr>
      <w:tr w:rsidR="00755362" w:rsidRPr="006B0870" w14:paraId="5D0C8E5A" w14:textId="77777777" w:rsidTr="00755362">
        <w:trPr>
          <w:trHeight w:val="546"/>
        </w:trPr>
        <w:tc>
          <w:tcPr>
            <w:tcW w:w="3332" w:type="dxa"/>
          </w:tcPr>
          <w:p w14:paraId="6F6E1998" w14:textId="77777777" w:rsidR="00755362" w:rsidRPr="006B0870" w:rsidRDefault="00755362" w:rsidP="003869F4">
            <w:pPr>
              <w:rPr>
                <w:color w:val="404040"/>
              </w:rPr>
            </w:pPr>
            <w:r w:rsidRPr="006B0870">
              <w:rPr>
                <w:color w:val="404040"/>
              </w:rPr>
              <w:t xml:space="preserve">Identify and address or refer people and groups with specific needs </w:t>
            </w:r>
          </w:p>
        </w:tc>
        <w:tc>
          <w:tcPr>
            <w:tcW w:w="4426" w:type="dxa"/>
          </w:tcPr>
          <w:p w14:paraId="444266AF" w14:textId="77777777" w:rsidR="00755362" w:rsidRDefault="00755362" w:rsidP="003869F4">
            <w:pPr>
              <w:rPr>
                <w:color w:val="404040"/>
              </w:rPr>
            </w:pPr>
            <w:r w:rsidRPr="006B0870">
              <w:rPr>
                <w:color w:val="404040"/>
              </w:rPr>
              <w:t>E.g. unaccompanied minors</w:t>
            </w:r>
            <w:r>
              <w:rPr>
                <w:color w:val="404040"/>
              </w:rPr>
              <w:t>, elderly, disabled or sick people.</w:t>
            </w:r>
            <w:r w:rsidRPr="006B0870">
              <w:rPr>
                <w:color w:val="404040"/>
              </w:rPr>
              <w:t xml:space="preserve"> Identify safe accommodation in new area if possible and necessary</w:t>
            </w:r>
            <w:r>
              <w:rPr>
                <w:color w:val="404040"/>
              </w:rPr>
              <w:t>.</w:t>
            </w:r>
          </w:p>
          <w:p w14:paraId="6DD8C09F" w14:textId="7132C87D" w:rsidR="00755362" w:rsidRPr="006B0870" w:rsidRDefault="00755362" w:rsidP="003869F4">
            <w:pPr>
              <w:rPr>
                <w:color w:val="404040"/>
              </w:rPr>
            </w:pPr>
          </w:p>
        </w:tc>
        <w:tc>
          <w:tcPr>
            <w:tcW w:w="817" w:type="dxa"/>
          </w:tcPr>
          <w:p w14:paraId="2F627CE3" w14:textId="77777777" w:rsidR="00755362" w:rsidRPr="006B0870" w:rsidRDefault="00755362" w:rsidP="003869F4">
            <w:pPr>
              <w:jc w:val="both"/>
              <w:rPr>
                <w:color w:val="404040"/>
              </w:rPr>
            </w:pPr>
          </w:p>
        </w:tc>
        <w:tc>
          <w:tcPr>
            <w:tcW w:w="815" w:type="dxa"/>
          </w:tcPr>
          <w:p w14:paraId="705DE44F" w14:textId="77777777" w:rsidR="00755362" w:rsidRPr="006B0870" w:rsidRDefault="00755362" w:rsidP="003869F4">
            <w:pPr>
              <w:jc w:val="both"/>
              <w:rPr>
                <w:color w:val="404040"/>
              </w:rPr>
            </w:pPr>
          </w:p>
        </w:tc>
      </w:tr>
      <w:tr w:rsidR="00755362" w:rsidRPr="006B0870" w14:paraId="6CA9EC3E" w14:textId="77777777" w:rsidTr="00755362">
        <w:trPr>
          <w:trHeight w:val="546"/>
        </w:trPr>
        <w:tc>
          <w:tcPr>
            <w:tcW w:w="3332" w:type="dxa"/>
          </w:tcPr>
          <w:p w14:paraId="45BE0303" w14:textId="5600D643" w:rsidR="00755362" w:rsidRPr="006B0870" w:rsidRDefault="00755362" w:rsidP="003869F4">
            <w:pPr>
              <w:rPr>
                <w:color w:val="404040"/>
              </w:rPr>
            </w:pPr>
            <w:r w:rsidRPr="006B0870">
              <w:rPr>
                <w:color w:val="404040"/>
              </w:rPr>
              <w:t xml:space="preserve">Notify all </w:t>
            </w:r>
            <w:r w:rsidR="00B15F4A">
              <w:rPr>
                <w:color w:val="404040"/>
              </w:rPr>
              <w:t>displacement site</w:t>
            </w:r>
            <w:r w:rsidRPr="006B0870">
              <w:rPr>
                <w:color w:val="404040"/>
              </w:rPr>
              <w:t xml:space="preserve"> stakeholders </w:t>
            </w:r>
          </w:p>
        </w:tc>
        <w:tc>
          <w:tcPr>
            <w:tcW w:w="4426" w:type="dxa"/>
          </w:tcPr>
          <w:p w14:paraId="25866EA5" w14:textId="127BD1FE" w:rsidR="00755362" w:rsidRPr="006B0870" w:rsidRDefault="00755362" w:rsidP="003869F4">
            <w:pPr>
              <w:rPr>
                <w:color w:val="404040"/>
              </w:rPr>
            </w:pPr>
            <w:r>
              <w:rPr>
                <w:color w:val="404040"/>
              </w:rPr>
              <w:t xml:space="preserve">The </w:t>
            </w:r>
            <w:r w:rsidR="00B15F4A">
              <w:rPr>
                <w:color w:val="404040"/>
              </w:rPr>
              <w:t>site</w:t>
            </w:r>
            <w:r>
              <w:rPr>
                <w:color w:val="404040"/>
              </w:rPr>
              <w:t xml:space="preserve"> coordinator, </w:t>
            </w:r>
            <w:r w:rsidR="00B15F4A">
              <w:rPr>
                <w:color w:val="404040"/>
              </w:rPr>
              <w:t>site</w:t>
            </w:r>
            <w:r>
              <w:rPr>
                <w:color w:val="404040"/>
              </w:rPr>
              <w:t xml:space="preserve"> administrator and service providers should be informed about c</w:t>
            </w:r>
            <w:r w:rsidRPr="006B0870">
              <w:rPr>
                <w:color w:val="404040"/>
              </w:rPr>
              <w:t>hanges</w:t>
            </w:r>
            <w:r>
              <w:rPr>
                <w:color w:val="404040"/>
              </w:rPr>
              <w:t xml:space="preserve"> in </w:t>
            </w:r>
            <w:r w:rsidR="00B15F4A">
              <w:rPr>
                <w:color w:val="404040"/>
              </w:rPr>
              <w:t>site</w:t>
            </w:r>
            <w:r>
              <w:rPr>
                <w:color w:val="404040"/>
              </w:rPr>
              <w:t xml:space="preserve"> population, the new situation </w:t>
            </w:r>
            <w:r w:rsidRPr="006B0870">
              <w:rPr>
                <w:color w:val="404040"/>
              </w:rPr>
              <w:t xml:space="preserve">and </w:t>
            </w:r>
            <w:r>
              <w:rPr>
                <w:color w:val="404040"/>
              </w:rPr>
              <w:t xml:space="preserve">of any </w:t>
            </w:r>
            <w:r w:rsidRPr="006B0870">
              <w:rPr>
                <w:color w:val="404040"/>
              </w:rPr>
              <w:t>new needs</w:t>
            </w:r>
            <w:r>
              <w:rPr>
                <w:color w:val="404040"/>
              </w:rPr>
              <w:t xml:space="preserve"> the changes bring about. </w:t>
            </w:r>
          </w:p>
        </w:tc>
        <w:tc>
          <w:tcPr>
            <w:tcW w:w="817" w:type="dxa"/>
          </w:tcPr>
          <w:p w14:paraId="314F80A4" w14:textId="77777777" w:rsidR="00755362" w:rsidRPr="006B0870" w:rsidRDefault="00755362" w:rsidP="003869F4">
            <w:pPr>
              <w:jc w:val="both"/>
              <w:rPr>
                <w:color w:val="404040"/>
              </w:rPr>
            </w:pPr>
          </w:p>
        </w:tc>
        <w:tc>
          <w:tcPr>
            <w:tcW w:w="815" w:type="dxa"/>
          </w:tcPr>
          <w:p w14:paraId="5206DF1B" w14:textId="77777777" w:rsidR="00755362" w:rsidRPr="006B0870" w:rsidRDefault="00755362" w:rsidP="003869F4">
            <w:pPr>
              <w:jc w:val="both"/>
              <w:rPr>
                <w:color w:val="404040"/>
              </w:rPr>
            </w:pPr>
          </w:p>
        </w:tc>
      </w:tr>
      <w:tr w:rsidR="00755362" w:rsidRPr="006B0870" w14:paraId="1E1B6A9A" w14:textId="77777777" w:rsidTr="00755362">
        <w:trPr>
          <w:trHeight w:val="66"/>
        </w:trPr>
        <w:tc>
          <w:tcPr>
            <w:tcW w:w="3332" w:type="dxa"/>
          </w:tcPr>
          <w:p w14:paraId="4DD8F3C5" w14:textId="77777777" w:rsidR="00755362" w:rsidRPr="006B0870" w:rsidRDefault="00755362" w:rsidP="003869F4">
            <w:pPr>
              <w:rPr>
                <w:color w:val="404040"/>
              </w:rPr>
            </w:pPr>
            <w:r w:rsidRPr="006B0870">
              <w:rPr>
                <w:color w:val="404040"/>
              </w:rPr>
              <w:lastRenderedPageBreak/>
              <w:t xml:space="preserve">Terminate/modify service agreements </w:t>
            </w:r>
          </w:p>
        </w:tc>
        <w:tc>
          <w:tcPr>
            <w:tcW w:w="4426" w:type="dxa"/>
          </w:tcPr>
          <w:p w14:paraId="486882CD" w14:textId="4E7EB952" w:rsidR="00755362" w:rsidRDefault="00755362" w:rsidP="003869F4">
            <w:pPr>
              <w:rPr>
                <w:color w:val="404040"/>
              </w:rPr>
            </w:pPr>
            <w:r>
              <w:rPr>
                <w:color w:val="404040"/>
              </w:rPr>
              <w:t>Especially</w:t>
            </w:r>
            <w:r w:rsidRPr="006B0870">
              <w:rPr>
                <w:color w:val="404040"/>
              </w:rPr>
              <w:t xml:space="preserve"> for service providers, including reviewing</w:t>
            </w:r>
            <w:r>
              <w:rPr>
                <w:color w:val="404040"/>
              </w:rPr>
              <w:t xml:space="preserve"> agreements for</w:t>
            </w:r>
            <w:r w:rsidRPr="006B0870">
              <w:rPr>
                <w:color w:val="404040"/>
              </w:rPr>
              <w:t xml:space="preserve"> handover and decommissioning of </w:t>
            </w:r>
            <w:r w:rsidR="00B15F4A">
              <w:rPr>
                <w:color w:val="404040"/>
              </w:rPr>
              <w:t>site</w:t>
            </w:r>
            <w:r>
              <w:rPr>
                <w:color w:val="404040"/>
              </w:rPr>
              <w:t xml:space="preserve"> </w:t>
            </w:r>
            <w:r w:rsidRPr="006B0870">
              <w:rPr>
                <w:color w:val="404040"/>
              </w:rPr>
              <w:t>assets</w:t>
            </w:r>
            <w:r>
              <w:rPr>
                <w:color w:val="404040"/>
              </w:rPr>
              <w:t xml:space="preserve">. </w:t>
            </w:r>
          </w:p>
          <w:p w14:paraId="170CA01D" w14:textId="7A131062" w:rsidR="00755362" w:rsidRPr="006B0870" w:rsidRDefault="00755362" w:rsidP="003869F4">
            <w:pPr>
              <w:rPr>
                <w:color w:val="404040"/>
              </w:rPr>
            </w:pPr>
          </w:p>
        </w:tc>
        <w:tc>
          <w:tcPr>
            <w:tcW w:w="817" w:type="dxa"/>
          </w:tcPr>
          <w:p w14:paraId="5A674051" w14:textId="77777777" w:rsidR="00755362" w:rsidRPr="006B0870" w:rsidRDefault="00755362" w:rsidP="003869F4">
            <w:pPr>
              <w:jc w:val="both"/>
              <w:rPr>
                <w:color w:val="404040"/>
              </w:rPr>
            </w:pPr>
          </w:p>
        </w:tc>
        <w:tc>
          <w:tcPr>
            <w:tcW w:w="815" w:type="dxa"/>
          </w:tcPr>
          <w:p w14:paraId="461B3DB7" w14:textId="77777777" w:rsidR="00755362" w:rsidRPr="006B0870" w:rsidRDefault="00755362" w:rsidP="003869F4">
            <w:pPr>
              <w:jc w:val="both"/>
              <w:rPr>
                <w:color w:val="404040"/>
              </w:rPr>
            </w:pPr>
          </w:p>
        </w:tc>
      </w:tr>
      <w:tr w:rsidR="00755362" w:rsidRPr="006B0870" w14:paraId="0D13C4D1" w14:textId="77777777" w:rsidTr="00755362">
        <w:trPr>
          <w:trHeight w:val="66"/>
        </w:trPr>
        <w:tc>
          <w:tcPr>
            <w:tcW w:w="3332" w:type="dxa"/>
          </w:tcPr>
          <w:p w14:paraId="1CD5569C" w14:textId="446A1119" w:rsidR="00755362" w:rsidRPr="006B0870" w:rsidRDefault="00B15F4A" w:rsidP="003869F4">
            <w:pPr>
              <w:rPr>
                <w:color w:val="404040"/>
              </w:rPr>
            </w:pPr>
            <w:r w:rsidRPr="006B0870">
              <w:rPr>
                <w:color w:val="404040"/>
              </w:rPr>
              <w:t>Organize</w:t>
            </w:r>
            <w:r w:rsidR="00755362" w:rsidRPr="006B0870">
              <w:rPr>
                <w:color w:val="404040"/>
              </w:rPr>
              <w:t xml:space="preserve"> waste disposal to ensure dignified exit from the site </w:t>
            </w:r>
          </w:p>
        </w:tc>
        <w:tc>
          <w:tcPr>
            <w:tcW w:w="4426" w:type="dxa"/>
          </w:tcPr>
          <w:p w14:paraId="71F1671C" w14:textId="2A0D572A" w:rsidR="00755362" w:rsidRDefault="00755362" w:rsidP="003869F4">
            <w:pPr>
              <w:rPr>
                <w:color w:val="404040"/>
              </w:rPr>
            </w:pPr>
            <w:r>
              <w:rPr>
                <w:color w:val="404040"/>
              </w:rPr>
              <w:t xml:space="preserve">A lot of waste is left behind when people leave a </w:t>
            </w:r>
            <w:r w:rsidR="00B15F4A">
              <w:rPr>
                <w:color w:val="404040"/>
              </w:rPr>
              <w:t>displacement</w:t>
            </w:r>
            <w:r>
              <w:rPr>
                <w:color w:val="404040"/>
              </w:rPr>
              <w:t xml:space="preserve"> site, carrying only their most important assets with them onwards. It is important for the people leaving and the host community to ensure the waste is disposed of properly.</w:t>
            </w:r>
          </w:p>
          <w:p w14:paraId="3F686F25" w14:textId="6C6ECE68" w:rsidR="00755362" w:rsidRPr="006B0870" w:rsidRDefault="00755362" w:rsidP="003869F4">
            <w:pPr>
              <w:rPr>
                <w:color w:val="404040"/>
              </w:rPr>
            </w:pPr>
          </w:p>
        </w:tc>
        <w:tc>
          <w:tcPr>
            <w:tcW w:w="817" w:type="dxa"/>
          </w:tcPr>
          <w:p w14:paraId="247CBB6E" w14:textId="77777777" w:rsidR="00755362" w:rsidRPr="006B0870" w:rsidRDefault="00755362" w:rsidP="003869F4">
            <w:pPr>
              <w:jc w:val="both"/>
              <w:rPr>
                <w:color w:val="404040"/>
              </w:rPr>
            </w:pPr>
          </w:p>
        </w:tc>
        <w:tc>
          <w:tcPr>
            <w:tcW w:w="815" w:type="dxa"/>
          </w:tcPr>
          <w:p w14:paraId="602F2E65" w14:textId="77777777" w:rsidR="00755362" w:rsidRPr="006B0870" w:rsidRDefault="00755362" w:rsidP="003869F4">
            <w:pPr>
              <w:jc w:val="both"/>
              <w:rPr>
                <w:color w:val="404040"/>
              </w:rPr>
            </w:pPr>
          </w:p>
        </w:tc>
      </w:tr>
      <w:tr w:rsidR="00755362" w:rsidRPr="006B0870" w14:paraId="519BE215" w14:textId="77777777" w:rsidTr="00755362">
        <w:trPr>
          <w:trHeight w:val="66"/>
        </w:trPr>
        <w:tc>
          <w:tcPr>
            <w:tcW w:w="3332" w:type="dxa"/>
          </w:tcPr>
          <w:p w14:paraId="4A723D86" w14:textId="386870B1" w:rsidR="00755362" w:rsidRPr="006B0870" w:rsidRDefault="00B15F4A" w:rsidP="003869F4">
            <w:pPr>
              <w:rPr>
                <w:color w:val="404040"/>
              </w:rPr>
            </w:pPr>
            <w:r w:rsidRPr="006B0870">
              <w:rPr>
                <w:color w:val="404040"/>
              </w:rPr>
              <w:t>Organize</w:t>
            </w:r>
            <w:r w:rsidR="00755362" w:rsidRPr="006B0870">
              <w:rPr>
                <w:color w:val="404040"/>
              </w:rPr>
              <w:t xml:space="preserve"> and provide transport if possible and necessary </w:t>
            </w:r>
          </w:p>
        </w:tc>
        <w:tc>
          <w:tcPr>
            <w:tcW w:w="4426" w:type="dxa"/>
          </w:tcPr>
          <w:p w14:paraId="06443EA9" w14:textId="77777777" w:rsidR="00755362" w:rsidRDefault="00755362" w:rsidP="003869F4">
            <w:pPr>
              <w:rPr>
                <w:color w:val="404040"/>
              </w:rPr>
            </w:pPr>
            <w:r>
              <w:rPr>
                <w:color w:val="404040"/>
              </w:rPr>
              <w:t xml:space="preserve">Displaced people have the right to assisted transportation as part of their durable solutions. If your agency or partner agencies have the capacity, and there is a need, this should be provided. </w:t>
            </w:r>
          </w:p>
          <w:p w14:paraId="1BAF0EFB" w14:textId="550D9CC6" w:rsidR="00755362" w:rsidRPr="006B0870" w:rsidRDefault="00755362" w:rsidP="003869F4">
            <w:pPr>
              <w:rPr>
                <w:color w:val="404040"/>
              </w:rPr>
            </w:pPr>
          </w:p>
        </w:tc>
        <w:tc>
          <w:tcPr>
            <w:tcW w:w="817" w:type="dxa"/>
          </w:tcPr>
          <w:p w14:paraId="25DE69BC" w14:textId="77777777" w:rsidR="00755362" w:rsidRPr="006B0870" w:rsidRDefault="00755362" w:rsidP="003869F4">
            <w:pPr>
              <w:jc w:val="both"/>
              <w:rPr>
                <w:color w:val="404040"/>
              </w:rPr>
            </w:pPr>
          </w:p>
        </w:tc>
        <w:tc>
          <w:tcPr>
            <w:tcW w:w="815" w:type="dxa"/>
          </w:tcPr>
          <w:p w14:paraId="608B0DC3" w14:textId="77777777" w:rsidR="00755362" w:rsidRPr="006B0870" w:rsidRDefault="00755362" w:rsidP="003869F4">
            <w:pPr>
              <w:jc w:val="both"/>
              <w:rPr>
                <w:color w:val="404040"/>
              </w:rPr>
            </w:pPr>
          </w:p>
        </w:tc>
      </w:tr>
      <w:tr w:rsidR="00755362" w:rsidRPr="006B0870" w14:paraId="01DF721F" w14:textId="77777777" w:rsidTr="00755362">
        <w:trPr>
          <w:trHeight w:val="66"/>
        </w:trPr>
        <w:tc>
          <w:tcPr>
            <w:tcW w:w="3332" w:type="dxa"/>
          </w:tcPr>
          <w:p w14:paraId="643D1D36" w14:textId="77777777" w:rsidR="00755362" w:rsidRPr="006B0870" w:rsidRDefault="00755362" w:rsidP="003869F4">
            <w:pPr>
              <w:rPr>
                <w:color w:val="404040"/>
              </w:rPr>
            </w:pPr>
            <w:r w:rsidRPr="006B0870">
              <w:rPr>
                <w:color w:val="404040"/>
              </w:rPr>
              <w:t>Track and monitor the population in their new locations</w:t>
            </w:r>
          </w:p>
        </w:tc>
        <w:tc>
          <w:tcPr>
            <w:tcW w:w="4426" w:type="dxa"/>
          </w:tcPr>
          <w:p w14:paraId="2C6836BF" w14:textId="77777777" w:rsidR="00755362" w:rsidRDefault="00755362" w:rsidP="003869F4">
            <w:pPr>
              <w:rPr>
                <w:color w:val="404040"/>
              </w:rPr>
            </w:pPr>
            <w:r>
              <w:rPr>
                <w:color w:val="404040"/>
              </w:rPr>
              <w:t>If possible, this would help</w:t>
            </w:r>
            <w:r w:rsidRPr="006B0870">
              <w:rPr>
                <w:color w:val="404040"/>
              </w:rPr>
              <w:t xml:space="preserve"> ensure continued access to protection and </w:t>
            </w:r>
            <w:r>
              <w:rPr>
                <w:color w:val="404040"/>
              </w:rPr>
              <w:t>se</w:t>
            </w:r>
            <w:r w:rsidRPr="006B0870">
              <w:rPr>
                <w:color w:val="404040"/>
              </w:rPr>
              <w:t>rvices,</w:t>
            </w:r>
            <w:r>
              <w:rPr>
                <w:color w:val="404040"/>
              </w:rPr>
              <w:t xml:space="preserve"> as well as facilitating</w:t>
            </w:r>
            <w:r w:rsidRPr="006B0870">
              <w:rPr>
                <w:color w:val="404040"/>
              </w:rPr>
              <w:t xml:space="preserve"> referrals to relevant agencies</w:t>
            </w:r>
            <w:r>
              <w:rPr>
                <w:color w:val="404040"/>
              </w:rPr>
              <w:t>.</w:t>
            </w:r>
          </w:p>
          <w:p w14:paraId="17969BCD" w14:textId="03248E00" w:rsidR="00755362" w:rsidRPr="006B0870" w:rsidRDefault="00755362" w:rsidP="003869F4">
            <w:pPr>
              <w:rPr>
                <w:color w:val="404040"/>
              </w:rPr>
            </w:pPr>
          </w:p>
        </w:tc>
        <w:tc>
          <w:tcPr>
            <w:tcW w:w="817" w:type="dxa"/>
          </w:tcPr>
          <w:p w14:paraId="07E3D2A1" w14:textId="77777777" w:rsidR="00755362" w:rsidRPr="006B0870" w:rsidRDefault="00755362" w:rsidP="003869F4">
            <w:pPr>
              <w:jc w:val="both"/>
              <w:rPr>
                <w:color w:val="404040"/>
              </w:rPr>
            </w:pPr>
          </w:p>
        </w:tc>
        <w:tc>
          <w:tcPr>
            <w:tcW w:w="815" w:type="dxa"/>
          </w:tcPr>
          <w:p w14:paraId="4A142515" w14:textId="77777777" w:rsidR="00755362" w:rsidRPr="006B0870" w:rsidRDefault="00755362" w:rsidP="003869F4">
            <w:pPr>
              <w:jc w:val="both"/>
              <w:rPr>
                <w:color w:val="404040"/>
              </w:rPr>
            </w:pPr>
          </w:p>
        </w:tc>
      </w:tr>
      <w:tr w:rsidR="00755362" w:rsidRPr="006B0870" w14:paraId="109CD059" w14:textId="77777777" w:rsidTr="00755362">
        <w:trPr>
          <w:trHeight w:val="406"/>
        </w:trPr>
        <w:tc>
          <w:tcPr>
            <w:tcW w:w="3332" w:type="dxa"/>
          </w:tcPr>
          <w:p w14:paraId="7429BA6B" w14:textId="0EC1760F" w:rsidR="00755362" w:rsidRPr="006B0870" w:rsidRDefault="00755362" w:rsidP="003869F4">
            <w:pPr>
              <w:rPr>
                <w:color w:val="404040"/>
              </w:rPr>
            </w:pPr>
            <w:r>
              <w:rPr>
                <w:color w:val="404040"/>
              </w:rPr>
              <w:t>Continued a</w:t>
            </w:r>
            <w:r w:rsidRPr="006B0870">
              <w:rPr>
                <w:color w:val="404040"/>
              </w:rPr>
              <w:t xml:space="preserve">dvocacy </w:t>
            </w:r>
            <w:r>
              <w:rPr>
                <w:color w:val="404040"/>
              </w:rPr>
              <w:t xml:space="preserve">for the previous </w:t>
            </w:r>
            <w:r w:rsidR="00B15F4A">
              <w:rPr>
                <w:color w:val="404040"/>
              </w:rPr>
              <w:t>site</w:t>
            </w:r>
            <w:r>
              <w:rPr>
                <w:color w:val="404040"/>
              </w:rPr>
              <w:t xml:space="preserve"> population</w:t>
            </w:r>
          </w:p>
        </w:tc>
        <w:tc>
          <w:tcPr>
            <w:tcW w:w="4426" w:type="dxa"/>
          </w:tcPr>
          <w:p w14:paraId="3537FE00" w14:textId="40182097" w:rsidR="00755362" w:rsidRDefault="00755362" w:rsidP="003869F4">
            <w:pPr>
              <w:rPr>
                <w:color w:val="404040"/>
              </w:rPr>
            </w:pPr>
            <w:r>
              <w:rPr>
                <w:color w:val="404040"/>
              </w:rPr>
              <w:t>F</w:t>
            </w:r>
            <w:r w:rsidRPr="006B0870">
              <w:rPr>
                <w:color w:val="404040"/>
              </w:rPr>
              <w:t>or continued access to protection and services and for ensuring the principles of durable solutions are followed</w:t>
            </w:r>
            <w:r>
              <w:rPr>
                <w:color w:val="404040"/>
              </w:rPr>
              <w:t>.</w:t>
            </w:r>
            <w:r w:rsidRPr="006B0870">
              <w:rPr>
                <w:color w:val="404040"/>
              </w:rPr>
              <w:t xml:space="preserve">  </w:t>
            </w:r>
          </w:p>
          <w:p w14:paraId="7FE18CB0" w14:textId="3508FF54" w:rsidR="00755362" w:rsidRPr="006B0870" w:rsidRDefault="00755362" w:rsidP="003869F4">
            <w:pPr>
              <w:rPr>
                <w:color w:val="404040"/>
              </w:rPr>
            </w:pPr>
          </w:p>
        </w:tc>
        <w:tc>
          <w:tcPr>
            <w:tcW w:w="817" w:type="dxa"/>
          </w:tcPr>
          <w:p w14:paraId="0ADF2969" w14:textId="77777777" w:rsidR="00755362" w:rsidRPr="006B0870" w:rsidRDefault="00755362" w:rsidP="003869F4">
            <w:pPr>
              <w:jc w:val="both"/>
              <w:rPr>
                <w:color w:val="404040"/>
              </w:rPr>
            </w:pPr>
          </w:p>
        </w:tc>
        <w:tc>
          <w:tcPr>
            <w:tcW w:w="815" w:type="dxa"/>
          </w:tcPr>
          <w:p w14:paraId="2E446328" w14:textId="77777777" w:rsidR="00755362" w:rsidRPr="006B0870" w:rsidRDefault="00755362" w:rsidP="003869F4">
            <w:pPr>
              <w:jc w:val="both"/>
              <w:rPr>
                <w:color w:val="404040"/>
              </w:rPr>
            </w:pPr>
          </w:p>
        </w:tc>
      </w:tr>
    </w:tbl>
    <w:p w14:paraId="6AF19F80" w14:textId="77777777" w:rsidR="00755362" w:rsidRPr="00015F25" w:rsidRDefault="00755362" w:rsidP="00755362">
      <w:pPr>
        <w:jc w:val="both"/>
        <w:rPr>
          <w:color w:val="404040"/>
        </w:rPr>
      </w:pPr>
    </w:p>
    <w:p w14:paraId="5280E20B" w14:textId="77777777" w:rsidR="00755362" w:rsidRPr="00015F25" w:rsidRDefault="00755362" w:rsidP="00755362">
      <w:pPr>
        <w:jc w:val="both"/>
        <w:rPr>
          <w:color w:val="404040"/>
        </w:rPr>
      </w:pPr>
    </w:p>
    <w:p w14:paraId="5883549E" w14:textId="77777777" w:rsidR="006D2C35" w:rsidRPr="007E6981" w:rsidRDefault="006D2C35" w:rsidP="006D2C35">
      <w:pPr>
        <w:rPr>
          <w:rFonts w:asciiTheme="minorHAnsi" w:hAnsiTheme="minorHAnsi"/>
        </w:rPr>
      </w:pPr>
    </w:p>
    <w:p w14:paraId="0C49BB68" w14:textId="531C9B46" w:rsidR="00A212B7" w:rsidRPr="007E6981" w:rsidRDefault="00A212B7" w:rsidP="006D2C35">
      <w:pPr>
        <w:rPr>
          <w:rFonts w:asciiTheme="minorHAnsi" w:hAnsiTheme="minorHAnsi"/>
        </w:rPr>
      </w:pPr>
    </w:p>
    <w:sectPr w:rsidR="00A212B7" w:rsidRPr="007E6981" w:rsidSect="00755362">
      <w:footerReference w:type="default" r:id="rId11"/>
      <w:headerReference w:type="first" r:id="rId12"/>
      <w:footerReference w:type="first" r:id="rId13"/>
      <w:pgSz w:w="11906" w:h="16838" w:code="9"/>
      <w:pgMar w:top="2268" w:right="1134"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8482" w14:textId="77777777" w:rsidR="00796F51" w:rsidRDefault="00796F51" w:rsidP="007D1DB5">
      <w:r>
        <w:separator/>
      </w:r>
    </w:p>
  </w:endnote>
  <w:endnote w:type="continuationSeparator" w:id="0">
    <w:p w14:paraId="0E6775FE" w14:textId="77777777" w:rsidR="00796F51" w:rsidRDefault="00796F51" w:rsidP="007D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52DB" w14:textId="77777777" w:rsidR="00BA23C5" w:rsidRDefault="00BA23C5" w:rsidP="00393024">
    <w:pPr>
      <w:pStyle w:val="Footer"/>
      <w:jc w:val="both"/>
      <w:rPr>
        <w:color w:val="2A87C8"/>
        <w:sz w:val="18"/>
      </w:rPr>
    </w:pPr>
  </w:p>
  <w:p w14:paraId="1560C938" w14:textId="4CE8BADB" w:rsidR="00A54897" w:rsidRPr="00D127F3" w:rsidRDefault="00393024" w:rsidP="00393024">
    <w:pPr>
      <w:pStyle w:val="Footer"/>
      <w:jc w:val="both"/>
      <w:rPr>
        <w:color w:val="2A87C8"/>
        <w:sz w:val="18"/>
      </w:rPr>
    </w:pPr>
    <w:r w:rsidRPr="00D127F3">
      <w:rPr>
        <w:color w:val="2A87C8"/>
        <w:sz w:val="18"/>
      </w:rPr>
      <w:t xml:space="preserve">CCCM Training      </w:t>
    </w:r>
    <w:r w:rsidR="00A54897" w:rsidRPr="00D127F3">
      <w:rPr>
        <w:color w:val="2A87C8"/>
        <w:sz w:val="18"/>
      </w:rPr>
      <w:t xml:space="preserve"> </w:t>
    </w:r>
    <w:r w:rsidRPr="00D127F3">
      <w:rPr>
        <w:color w:val="2A87C8"/>
        <w:sz w:val="18"/>
      </w:rPr>
      <w:t xml:space="preserve"> </w:t>
    </w:r>
    <w:r w:rsidR="00A54897" w:rsidRPr="00D127F3">
      <w:rPr>
        <w:color w:val="2A87C8"/>
        <w:sz w:val="18"/>
      </w:rPr>
      <w:t xml:space="preserve">  </w:t>
    </w:r>
    <w:r w:rsidR="006723AA">
      <w:rPr>
        <w:color w:val="2A87C8"/>
        <w:sz w:val="18"/>
      </w:rPr>
      <w:t xml:space="preserve">                </w:t>
    </w:r>
    <w:r w:rsidRPr="00D127F3">
      <w:rPr>
        <w:color w:val="2A87C8"/>
        <w:sz w:val="18"/>
      </w:rPr>
      <w:t xml:space="preserve">       </w:t>
    </w:r>
    <w:r w:rsidR="00A54897" w:rsidRPr="00D127F3">
      <w:rPr>
        <w:color w:val="2A87C8"/>
        <w:sz w:val="18"/>
      </w:rPr>
      <w:t xml:space="preserve">   </w:t>
    </w:r>
    <w:r w:rsidRPr="00D127F3">
      <w:rPr>
        <w:color w:val="2A87C8"/>
        <w:sz w:val="18"/>
      </w:rPr>
      <w:t xml:space="preserve"> </w:t>
    </w:r>
    <w:r w:rsidR="00755362">
      <w:rPr>
        <w:color w:val="2A87C8"/>
        <w:sz w:val="18"/>
      </w:rPr>
      <w:t xml:space="preserve">                </w:t>
    </w:r>
    <w:r w:rsidRPr="00D127F3">
      <w:rPr>
        <w:color w:val="2A87C8"/>
        <w:sz w:val="18"/>
      </w:rPr>
      <w:t xml:space="preserve"> </w:t>
    </w:r>
    <w:r w:rsidR="00755362">
      <w:rPr>
        <w:color w:val="2A87C8"/>
        <w:sz w:val="18"/>
      </w:rPr>
      <w:t xml:space="preserve">        </w:t>
    </w:r>
    <w:r w:rsidRPr="00D127F3">
      <w:rPr>
        <w:color w:val="2A87C8"/>
        <w:sz w:val="18"/>
      </w:rPr>
      <w:t xml:space="preserve">   </w:t>
    </w:r>
    <w:r w:rsidR="00D127F3" w:rsidRPr="00D127F3">
      <w:rPr>
        <w:color w:val="2A87C8"/>
        <w:sz w:val="18"/>
      </w:rPr>
      <w:t xml:space="preserve"> </w:t>
    </w:r>
    <w:r w:rsidR="007E6981">
      <w:rPr>
        <w:color w:val="2A87C8"/>
        <w:sz w:val="18"/>
      </w:rPr>
      <w:t xml:space="preserve">Annex </w:t>
    </w:r>
    <w:r w:rsidR="0003264B">
      <w:rPr>
        <w:color w:val="2A87C8"/>
        <w:sz w:val="18"/>
      </w:rPr>
      <w:t>12.4</w:t>
    </w:r>
    <w:r w:rsidR="006723AA">
      <w:rPr>
        <w:color w:val="2A87C8"/>
        <w:sz w:val="18"/>
      </w:rPr>
      <w:t xml:space="preserve"> –</w:t>
    </w:r>
    <w:r w:rsidR="00830AA4">
      <w:rPr>
        <w:color w:val="2A87C8"/>
        <w:sz w:val="18"/>
      </w:rPr>
      <w:t xml:space="preserve"> </w:t>
    </w:r>
    <w:r w:rsidR="00755362">
      <w:rPr>
        <w:color w:val="2A87C8"/>
        <w:sz w:val="18"/>
      </w:rPr>
      <w:t xml:space="preserve">Site Closure Checklist </w:t>
    </w:r>
    <w:r w:rsidR="007E6981">
      <w:rPr>
        <w:color w:val="2A87C8"/>
        <w:sz w:val="18"/>
      </w:rPr>
      <w:t xml:space="preserve"> </w:t>
    </w:r>
    <w:r w:rsidR="00D127F3" w:rsidRPr="00D127F3">
      <w:rPr>
        <w:color w:val="2A87C8"/>
        <w:sz w:val="18"/>
      </w:rPr>
      <w:t xml:space="preserve">   </w:t>
    </w:r>
    <w:r w:rsidRPr="00D127F3">
      <w:rPr>
        <w:color w:val="2A87C8"/>
        <w:sz w:val="18"/>
      </w:rPr>
      <w:t xml:space="preserve">     </w:t>
    </w:r>
    <w:r w:rsidR="00A54897" w:rsidRPr="00D127F3">
      <w:rPr>
        <w:color w:val="2A87C8"/>
        <w:sz w:val="18"/>
      </w:rPr>
      <w:t xml:space="preserve">   </w:t>
    </w:r>
    <w:r w:rsidRPr="00D127F3">
      <w:rPr>
        <w:color w:val="2A87C8"/>
        <w:sz w:val="18"/>
      </w:rPr>
      <w:t xml:space="preserve">    </w:t>
    </w:r>
    <w:r w:rsidR="006723AA">
      <w:rPr>
        <w:color w:val="2A87C8"/>
        <w:sz w:val="18"/>
      </w:rPr>
      <w:t xml:space="preserve">                </w:t>
    </w:r>
    <w:r w:rsidRPr="00D127F3">
      <w:rPr>
        <w:color w:val="2A87C8"/>
        <w:sz w:val="18"/>
      </w:rPr>
      <w:t xml:space="preserve"> </w:t>
    </w:r>
    <w:r w:rsidR="00D127F3" w:rsidRPr="00D127F3">
      <w:rPr>
        <w:color w:val="2A87C8"/>
        <w:sz w:val="18"/>
      </w:rPr>
      <w:t xml:space="preserve">   </w:t>
    </w:r>
    <w:r w:rsidR="00830AA4">
      <w:rPr>
        <w:color w:val="2A87C8"/>
        <w:sz w:val="18"/>
      </w:rPr>
      <w:t xml:space="preserve">       </w:t>
    </w:r>
    <w:r w:rsidR="00D127F3" w:rsidRPr="00D127F3">
      <w:rPr>
        <w:color w:val="2A87C8"/>
        <w:sz w:val="18"/>
      </w:rPr>
      <w:t>www.globalcccmcluster.com</w:t>
    </w:r>
    <w:r w:rsidRPr="00D127F3">
      <w:rPr>
        <w:color w:val="2A87C8"/>
        <w:sz w:val="18"/>
      </w:rPr>
      <w:t xml:space="preserve"> </w:t>
    </w:r>
  </w:p>
  <w:p w14:paraId="054BF862" w14:textId="2D7AAF45" w:rsidR="00393024" w:rsidRPr="00A4798B" w:rsidRDefault="004B1BEB" w:rsidP="00A54897">
    <w:pPr>
      <w:pStyle w:val="Footer"/>
      <w:jc w:val="right"/>
      <w:rPr>
        <w:color w:val="000000" w:themeColor="text1"/>
        <w:sz w:val="22"/>
      </w:rPr>
    </w:pPr>
    <w:sdt>
      <w:sdtPr>
        <w:rPr>
          <w:color w:val="2A87C8"/>
          <w:sz w:val="18"/>
        </w:rPr>
        <w:id w:val="2072304613"/>
        <w:docPartObj>
          <w:docPartGallery w:val="Page Numbers (Bottom of Page)"/>
          <w:docPartUnique/>
        </w:docPartObj>
      </w:sdtPr>
      <w:sdtEndPr>
        <w:rPr>
          <w:noProof/>
          <w:color w:val="000000" w:themeColor="text1"/>
          <w:sz w:val="22"/>
        </w:rPr>
      </w:sdtEndPr>
      <w:sdtContent>
        <w:r w:rsidR="006723AA">
          <w:rPr>
            <w:color w:val="2A87C8"/>
            <w:sz w:val="18"/>
          </w:rPr>
          <w:t xml:space="preserve">  </w:t>
        </w:r>
        <w:r w:rsidR="00393024" w:rsidRPr="00A4798B">
          <w:rPr>
            <w:color w:val="000000" w:themeColor="text1"/>
            <w:sz w:val="22"/>
          </w:rPr>
          <w:fldChar w:fldCharType="begin"/>
        </w:r>
        <w:r w:rsidR="00393024" w:rsidRPr="00A4798B">
          <w:rPr>
            <w:color w:val="000000" w:themeColor="text1"/>
            <w:sz w:val="22"/>
          </w:rPr>
          <w:instrText xml:space="preserve"> PAGE   \* MERGEFORMAT </w:instrText>
        </w:r>
        <w:r w:rsidR="00393024" w:rsidRPr="00A4798B">
          <w:rPr>
            <w:color w:val="000000" w:themeColor="text1"/>
            <w:sz w:val="22"/>
          </w:rPr>
          <w:fldChar w:fldCharType="separate"/>
        </w:r>
        <w:r w:rsidR="006723AA">
          <w:rPr>
            <w:noProof/>
            <w:color w:val="000000" w:themeColor="text1"/>
            <w:sz w:val="22"/>
          </w:rPr>
          <w:t>4</w:t>
        </w:r>
        <w:r w:rsidR="00393024" w:rsidRPr="00A4798B">
          <w:rPr>
            <w:noProof/>
            <w:color w:val="000000" w:themeColor="text1"/>
            <w:sz w:val="22"/>
          </w:rPr>
          <w:fldChar w:fldCharType="end"/>
        </w:r>
      </w:sdtContent>
    </w:sdt>
  </w:p>
  <w:p w14:paraId="698CCC07" w14:textId="77777777" w:rsidR="000D1F2A" w:rsidRDefault="000D1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157D" w14:textId="77777777" w:rsidR="00755362" w:rsidRDefault="00755362" w:rsidP="00755362">
    <w:pPr>
      <w:pStyle w:val="Footer"/>
      <w:jc w:val="both"/>
      <w:rPr>
        <w:color w:val="2A87C8"/>
        <w:sz w:val="18"/>
      </w:rPr>
    </w:pPr>
  </w:p>
  <w:p w14:paraId="5CD624F0" w14:textId="0034595D" w:rsidR="00755362" w:rsidRPr="00D127F3" w:rsidRDefault="00755362" w:rsidP="00755362">
    <w:pPr>
      <w:pStyle w:val="Footer"/>
      <w:jc w:val="both"/>
      <w:rPr>
        <w:color w:val="2A87C8"/>
        <w:sz w:val="18"/>
      </w:rPr>
    </w:pPr>
    <w:r w:rsidRPr="00D127F3">
      <w:rPr>
        <w:color w:val="2A87C8"/>
        <w:sz w:val="18"/>
      </w:rPr>
      <w:t xml:space="preserve">CCCM Training          </w:t>
    </w:r>
    <w:r>
      <w:rPr>
        <w:color w:val="2A87C8"/>
        <w:sz w:val="18"/>
      </w:rPr>
      <w:t xml:space="preserve">                </w:t>
    </w:r>
    <w:r w:rsidRPr="00D127F3">
      <w:rPr>
        <w:color w:val="2A87C8"/>
        <w:sz w:val="18"/>
      </w:rPr>
      <w:t xml:space="preserve">           </w:t>
    </w:r>
    <w:r>
      <w:rPr>
        <w:color w:val="2A87C8"/>
        <w:sz w:val="18"/>
      </w:rPr>
      <w:t xml:space="preserve">                </w:t>
    </w:r>
    <w:r w:rsidRPr="00D127F3">
      <w:rPr>
        <w:color w:val="2A87C8"/>
        <w:sz w:val="18"/>
      </w:rPr>
      <w:t xml:space="preserve"> </w:t>
    </w:r>
    <w:r>
      <w:rPr>
        <w:color w:val="2A87C8"/>
        <w:sz w:val="18"/>
      </w:rPr>
      <w:t xml:space="preserve">        </w:t>
    </w:r>
    <w:r w:rsidRPr="00D127F3">
      <w:rPr>
        <w:color w:val="2A87C8"/>
        <w:sz w:val="18"/>
      </w:rPr>
      <w:t xml:space="preserve">    </w:t>
    </w:r>
    <w:r w:rsidR="0003264B">
      <w:rPr>
        <w:color w:val="2A87C8"/>
        <w:sz w:val="18"/>
      </w:rPr>
      <w:t>Annex 12.4</w:t>
    </w:r>
    <w:r>
      <w:rPr>
        <w:color w:val="2A87C8"/>
        <w:sz w:val="18"/>
      </w:rPr>
      <w:t xml:space="preserve"> – Site Closure Checklist  </w:t>
    </w:r>
    <w:r w:rsidRPr="00D127F3">
      <w:rPr>
        <w:color w:val="2A87C8"/>
        <w:sz w:val="18"/>
      </w:rPr>
      <w:t xml:space="preserve">               </w:t>
    </w:r>
    <w:r>
      <w:rPr>
        <w:color w:val="2A87C8"/>
        <w:sz w:val="18"/>
      </w:rPr>
      <w:t xml:space="preserve">                </w:t>
    </w:r>
    <w:r w:rsidRPr="00D127F3">
      <w:rPr>
        <w:color w:val="2A87C8"/>
        <w:sz w:val="18"/>
      </w:rPr>
      <w:t xml:space="preserve">    </w:t>
    </w:r>
    <w:r>
      <w:rPr>
        <w:color w:val="2A87C8"/>
        <w:sz w:val="18"/>
      </w:rPr>
      <w:t xml:space="preserve">       </w:t>
    </w:r>
    <w:r w:rsidRPr="00D127F3">
      <w:rPr>
        <w:color w:val="2A87C8"/>
        <w:sz w:val="18"/>
      </w:rPr>
      <w:t xml:space="preserve">www.globalcccmcluster.com </w:t>
    </w:r>
  </w:p>
  <w:p w14:paraId="1E5404CC" w14:textId="77777777" w:rsidR="00755362" w:rsidRPr="00A4798B" w:rsidRDefault="004B1BEB" w:rsidP="00755362">
    <w:pPr>
      <w:pStyle w:val="Footer"/>
      <w:jc w:val="right"/>
      <w:rPr>
        <w:color w:val="000000" w:themeColor="text1"/>
        <w:sz w:val="22"/>
      </w:rPr>
    </w:pPr>
    <w:sdt>
      <w:sdtPr>
        <w:rPr>
          <w:color w:val="2A87C8"/>
          <w:sz w:val="18"/>
        </w:rPr>
        <w:id w:val="-1207327376"/>
        <w:docPartObj>
          <w:docPartGallery w:val="Page Numbers (Bottom of Page)"/>
          <w:docPartUnique/>
        </w:docPartObj>
      </w:sdtPr>
      <w:sdtEndPr>
        <w:rPr>
          <w:noProof/>
          <w:color w:val="000000" w:themeColor="text1"/>
          <w:sz w:val="22"/>
        </w:rPr>
      </w:sdtEndPr>
      <w:sdtContent>
        <w:r w:rsidR="00755362">
          <w:rPr>
            <w:color w:val="2A87C8"/>
            <w:sz w:val="18"/>
          </w:rPr>
          <w:t xml:space="preserve">  </w:t>
        </w:r>
        <w:r w:rsidR="00755362" w:rsidRPr="00A4798B">
          <w:rPr>
            <w:color w:val="000000" w:themeColor="text1"/>
            <w:sz w:val="22"/>
          </w:rPr>
          <w:fldChar w:fldCharType="begin"/>
        </w:r>
        <w:r w:rsidR="00755362" w:rsidRPr="00A4798B">
          <w:rPr>
            <w:color w:val="000000" w:themeColor="text1"/>
            <w:sz w:val="22"/>
          </w:rPr>
          <w:instrText xml:space="preserve"> PAGE   \* MERGEFORMAT </w:instrText>
        </w:r>
        <w:r w:rsidR="00755362" w:rsidRPr="00A4798B">
          <w:rPr>
            <w:color w:val="000000" w:themeColor="text1"/>
            <w:sz w:val="22"/>
          </w:rPr>
          <w:fldChar w:fldCharType="separate"/>
        </w:r>
        <w:r w:rsidR="00755362">
          <w:rPr>
            <w:color w:val="000000" w:themeColor="text1"/>
            <w:sz w:val="22"/>
          </w:rPr>
          <w:t>2</w:t>
        </w:r>
        <w:r w:rsidR="00755362" w:rsidRPr="00A4798B">
          <w:rPr>
            <w:noProof/>
            <w:color w:val="000000" w:themeColor="text1"/>
            <w:sz w:val="22"/>
          </w:rPr>
          <w:fldChar w:fldCharType="end"/>
        </w:r>
      </w:sdtContent>
    </w:sdt>
  </w:p>
  <w:p w14:paraId="2CF9D39F" w14:textId="77777777" w:rsidR="00755362" w:rsidRDefault="00755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88FD" w14:textId="77777777" w:rsidR="00796F51" w:rsidRDefault="00796F51" w:rsidP="007D1DB5">
      <w:r>
        <w:separator/>
      </w:r>
    </w:p>
  </w:footnote>
  <w:footnote w:type="continuationSeparator" w:id="0">
    <w:p w14:paraId="34B741CE" w14:textId="77777777" w:rsidR="00796F51" w:rsidRDefault="00796F51" w:rsidP="007D1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62DA" w14:textId="4C157328" w:rsidR="00755362" w:rsidRPr="0003264B" w:rsidRDefault="0003264B" w:rsidP="0003264B">
    <w:pPr>
      <w:spacing w:line="276" w:lineRule="auto"/>
      <w:rPr>
        <w:rFonts w:asciiTheme="minorHAnsi" w:hAnsiTheme="minorHAnsi" w:cs="Calibri"/>
        <w:b/>
        <w:color w:val="2A87C8"/>
        <w:sz w:val="36"/>
        <w:szCs w:val="36"/>
        <w:lang w:val="en-GB"/>
      </w:rPr>
    </w:pPr>
    <w:r w:rsidRPr="006723AA">
      <w:rPr>
        <w:rFonts w:ascii="Cambria" w:hAnsi="Cambria"/>
        <w:noProof/>
        <w:color w:val="2A87C8"/>
        <w:sz w:val="32"/>
      </w:rPr>
      <w:drawing>
        <wp:anchor distT="0" distB="0" distL="114300" distR="114300" simplePos="0" relativeHeight="251661312" behindDoc="1" locked="0" layoutInCell="1" allowOverlap="1" wp14:anchorId="6B5A1EDC" wp14:editId="0371578E">
          <wp:simplePos x="0" y="0"/>
          <wp:positionH relativeFrom="page">
            <wp:posOffset>913765</wp:posOffset>
          </wp:positionH>
          <wp:positionV relativeFrom="page">
            <wp:posOffset>365760</wp:posOffset>
          </wp:positionV>
          <wp:extent cx="5941695" cy="759460"/>
          <wp:effectExtent l="0" t="0" r="1905" b="2540"/>
          <wp:wrapThrough wrapText="bothSides">
            <wp:wrapPolygon edited="0">
              <wp:start x="18075" y="0"/>
              <wp:lineTo x="16967" y="0"/>
              <wp:lineTo x="16551" y="2167"/>
              <wp:lineTo x="16621" y="8669"/>
              <wp:lineTo x="0" y="13003"/>
              <wp:lineTo x="0" y="14629"/>
              <wp:lineTo x="16551" y="17338"/>
              <wp:lineTo x="16482" y="21130"/>
              <wp:lineTo x="20291" y="21130"/>
              <wp:lineTo x="20222" y="17338"/>
              <wp:lineTo x="21538" y="14629"/>
              <wp:lineTo x="21538" y="13003"/>
              <wp:lineTo x="20291" y="7585"/>
              <wp:lineTo x="20153" y="3793"/>
              <wp:lineTo x="19876" y="0"/>
              <wp:lineTo x="18075" y="0"/>
            </wp:wrapPolygon>
          </wp:wrapThrough>
          <wp:docPr id="1" name="Picture 1"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169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362">
      <w:rPr>
        <w:rFonts w:asciiTheme="minorHAnsi" w:hAnsiTheme="minorHAnsi" w:cs="Calibri"/>
        <w:b/>
        <w:color w:val="2A87C8"/>
        <w:sz w:val="36"/>
        <w:szCs w:val="36"/>
        <w:lang w:val="en-GB"/>
      </w:rPr>
      <w:t>SITE CLOSURE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C0BB74"/>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Calibri Light" w:hint="default"/>
      </w:rPr>
    </w:lvl>
    <w:lvl w:ilvl="1">
      <w:start w:val="1"/>
      <w:numFmt w:val="bullet"/>
      <w:lvlText w:val=""/>
      <w:lvlJc w:val="left"/>
      <w:pPr>
        <w:tabs>
          <w:tab w:val="num" w:pos="720"/>
        </w:tabs>
        <w:ind w:left="1080" w:hanging="360"/>
      </w:pPr>
      <w:rPr>
        <w:rFonts w:ascii="Symbol" w:hAnsi="Symbol" w:cs="Calibri Light"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cs="Wingdings 2" w:hint="default"/>
      </w:rPr>
    </w:lvl>
    <w:lvl w:ilvl="4">
      <w:start w:val="1"/>
      <w:numFmt w:val="bullet"/>
      <w:lvlText w:val=""/>
      <w:lvlJc w:val="left"/>
      <w:pPr>
        <w:tabs>
          <w:tab w:val="num" w:pos="2880"/>
        </w:tabs>
        <w:ind w:left="3240" w:hanging="360"/>
      </w:pPr>
      <w:rPr>
        <w:rFonts w:ascii="Wingdings" w:hAnsi="Wingdings" w:cs="Wingdings 2" w:hint="default"/>
      </w:rPr>
    </w:lvl>
    <w:lvl w:ilvl="5">
      <w:start w:val="1"/>
      <w:numFmt w:val="bullet"/>
      <w:lvlText w:val=""/>
      <w:lvlJc w:val="left"/>
      <w:pPr>
        <w:tabs>
          <w:tab w:val="num" w:pos="3600"/>
        </w:tabs>
        <w:ind w:left="3960" w:hanging="360"/>
      </w:pPr>
      <w:rPr>
        <w:rFonts w:ascii="Symbol" w:hAnsi="Symbol" w:cs="Calibri Light"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cs="Wingdings 2" w:hint="default"/>
      </w:rPr>
    </w:lvl>
    <w:lvl w:ilvl="8">
      <w:start w:val="1"/>
      <w:numFmt w:val="bullet"/>
      <w:lvlText w:val=""/>
      <w:lvlJc w:val="left"/>
      <w:pPr>
        <w:tabs>
          <w:tab w:val="num" w:pos="5760"/>
        </w:tabs>
        <w:ind w:left="6120" w:hanging="360"/>
      </w:pPr>
      <w:rPr>
        <w:rFonts w:ascii="Wingdings" w:hAnsi="Wingdings" w:cs="Wingdings 2"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ingdings 2" w:hAnsi="Wingdings 2" w:cs="Wingdings 2" w:hint="default"/>
        <w:color w:val="0077C0"/>
      </w:rPr>
    </w:lvl>
  </w:abstractNum>
  <w:abstractNum w:abstractNumId="3" w15:restartNumberingAfterBreak="0">
    <w:nsid w:val="0E227195"/>
    <w:multiLevelType w:val="hybridMultilevel"/>
    <w:tmpl w:val="781ADBEC"/>
    <w:lvl w:ilvl="0" w:tplc="08090001">
      <w:start w:val="1"/>
      <w:numFmt w:val="bullet"/>
      <w:pStyle w:val="CCCM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76F9"/>
    <w:multiLevelType w:val="hybridMultilevel"/>
    <w:tmpl w:val="8E10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A3074"/>
    <w:multiLevelType w:val="hybridMultilevel"/>
    <w:tmpl w:val="0F3A75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D7F47"/>
    <w:multiLevelType w:val="hybridMultilevel"/>
    <w:tmpl w:val="912CD0A4"/>
    <w:lvl w:ilvl="0" w:tplc="CEF411C8">
      <w:start w:val="3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420E2"/>
    <w:multiLevelType w:val="hybridMultilevel"/>
    <w:tmpl w:val="55A044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C5C92"/>
    <w:multiLevelType w:val="hybridMultilevel"/>
    <w:tmpl w:val="27B2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532A6"/>
    <w:multiLevelType w:val="hybridMultilevel"/>
    <w:tmpl w:val="B1B0633E"/>
    <w:lvl w:ilvl="0" w:tplc="D4DEC394">
      <w:start w:val="1"/>
      <w:numFmt w:val="decimal"/>
      <w:lvlText w:val="%1."/>
      <w:lvlJc w:val="left"/>
      <w:pPr>
        <w:ind w:left="720" w:hanging="360"/>
      </w:pPr>
      <w:rPr>
        <w:rFonts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23459"/>
    <w:multiLevelType w:val="hybridMultilevel"/>
    <w:tmpl w:val="92845490"/>
    <w:lvl w:ilvl="0" w:tplc="1F126FBA">
      <w:start w:val="1"/>
      <w:numFmt w:val="decimal"/>
      <w:lvlText w:val="%1."/>
      <w:lvlJc w:val="left"/>
      <w:pPr>
        <w:ind w:left="720" w:hanging="360"/>
      </w:pPr>
      <w:rPr>
        <w:rFonts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4723E1"/>
    <w:multiLevelType w:val="hybridMultilevel"/>
    <w:tmpl w:val="596AC7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513CB7"/>
    <w:multiLevelType w:val="hybridMultilevel"/>
    <w:tmpl w:val="EE0830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5E520C"/>
    <w:multiLevelType w:val="hybridMultilevel"/>
    <w:tmpl w:val="9EFE19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6013927">
    <w:abstractNumId w:val="0"/>
  </w:num>
  <w:num w:numId="2" w16cid:durableId="338124791">
    <w:abstractNumId w:val="6"/>
  </w:num>
  <w:num w:numId="3" w16cid:durableId="1862160575">
    <w:abstractNumId w:val="3"/>
  </w:num>
  <w:num w:numId="4" w16cid:durableId="991562661">
    <w:abstractNumId w:val="7"/>
  </w:num>
  <w:num w:numId="5" w16cid:durableId="1524129666">
    <w:abstractNumId w:val="12"/>
  </w:num>
  <w:num w:numId="6" w16cid:durableId="86124019">
    <w:abstractNumId w:val="5"/>
  </w:num>
  <w:num w:numId="7" w16cid:durableId="1484396105">
    <w:abstractNumId w:val="13"/>
  </w:num>
  <w:num w:numId="8" w16cid:durableId="2051152554">
    <w:abstractNumId w:val="11"/>
  </w:num>
  <w:num w:numId="9" w16cid:durableId="15890131">
    <w:abstractNumId w:val="8"/>
  </w:num>
  <w:num w:numId="10" w16cid:durableId="374890321">
    <w:abstractNumId w:val="4"/>
  </w:num>
  <w:num w:numId="11" w16cid:durableId="265160029">
    <w:abstractNumId w:val="10"/>
  </w:num>
  <w:num w:numId="12" w16cid:durableId="123623242">
    <w:abstractNumId w:val="9"/>
  </w:num>
  <w:num w:numId="13" w16cid:durableId="1780101781">
    <w:abstractNumId w:val="1"/>
  </w:num>
  <w:num w:numId="14" w16cid:durableId="151980937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B5"/>
    <w:rsid w:val="000005D6"/>
    <w:rsid w:val="00015ECF"/>
    <w:rsid w:val="000205A5"/>
    <w:rsid w:val="00026F40"/>
    <w:rsid w:val="0003264B"/>
    <w:rsid w:val="00034882"/>
    <w:rsid w:val="00047258"/>
    <w:rsid w:val="00067EF3"/>
    <w:rsid w:val="00077DA8"/>
    <w:rsid w:val="0008364F"/>
    <w:rsid w:val="000C313F"/>
    <w:rsid w:val="000D1F2A"/>
    <w:rsid w:val="000E1AEE"/>
    <w:rsid w:val="000F6FDB"/>
    <w:rsid w:val="000F7CB2"/>
    <w:rsid w:val="00104DDE"/>
    <w:rsid w:val="00114B73"/>
    <w:rsid w:val="001176A0"/>
    <w:rsid w:val="00161920"/>
    <w:rsid w:val="00164797"/>
    <w:rsid w:val="00166C85"/>
    <w:rsid w:val="00190579"/>
    <w:rsid w:val="001A68DF"/>
    <w:rsid w:val="001B3B16"/>
    <w:rsid w:val="001E19F0"/>
    <w:rsid w:val="001F76F2"/>
    <w:rsid w:val="002204C5"/>
    <w:rsid w:val="0022271D"/>
    <w:rsid w:val="00240AE5"/>
    <w:rsid w:val="002735B9"/>
    <w:rsid w:val="002A0F52"/>
    <w:rsid w:val="002A403D"/>
    <w:rsid w:val="002A5A4D"/>
    <w:rsid w:val="002D6379"/>
    <w:rsid w:val="00331DC4"/>
    <w:rsid w:val="00344D67"/>
    <w:rsid w:val="003618E3"/>
    <w:rsid w:val="00374E9C"/>
    <w:rsid w:val="00393024"/>
    <w:rsid w:val="003A0195"/>
    <w:rsid w:val="003E02E8"/>
    <w:rsid w:val="003F3C38"/>
    <w:rsid w:val="00411CBE"/>
    <w:rsid w:val="00416DD5"/>
    <w:rsid w:val="00425D94"/>
    <w:rsid w:val="00433B62"/>
    <w:rsid w:val="00452A07"/>
    <w:rsid w:val="00452C34"/>
    <w:rsid w:val="0046323F"/>
    <w:rsid w:val="004654F3"/>
    <w:rsid w:val="0047277B"/>
    <w:rsid w:val="004812FD"/>
    <w:rsid w:val="004B06F6"/>
    <w:rsid w:val="004B1BEB"/>
    <w:rsid w:val="004C6C62"/>
    <w:rsid w:val="004E2175"/>
    <w:rsid w:val="004F4EFD"/>
    <w:rsid w:val="004F5E1A"/>
    <w:rsid w:val="004F6C56"/>
    <w:rsid w:val="00501778"/>
    <w:rsid w:val="005070DD"/>
    <w:rsid w:val="00527A91"/>
    <w:rsid w:val="00547A71"/>
    <w:rsid w:val="00550E1D"/>
    <w:rsid w:val="0055379C"/>
    <w:rsid w:val="00562311"/>
    <w:rsid w:val="00570750"/>
    <w:rsid w:val="00583689"/>
    <w:rsid w:val="0058371A"/>
    <w:rsid w:val="00586252"/>
    <w:rsid w:val="005C0BAB"/>
    <w:rsid w:val="005C7391"/>
    <w:rsid w:val="005C769F"/>
    <w:rsid w:val="005E1BB4"/>
    <w:rsid w:val="005E6FE8"/>
    <w:rsid w:val="005E7FE3"/>
    <w:rsid w:val="006023A4"/>
    <w:rsid w:val="00605036"/>
    <w:rsid w:val="00623E06"/>
    <w:rsid w:val="00643768"/>
    <w:rsid w:val="00655F8A"/>
    <w:rsid w:val="006655D6"/>
    <w:rsid w:val="006723AA"/>
    <w:rsid w:val="006901BD"/>
    <w:rsid w:val="006953E7"/>
    <w:rsid w:val="00695427"/>
    <w:rsid w:val="006A3C76"/>
    <w:rsid w:val="006D2C35"/>
    <w:rsid w:val="00706CF9"/>
    <w:rsid w:val="00715744"/>
    <w:rsid w:val="007326ED"/>
    <w:rsid w:val="00755362"/>
    <w:rsid w:val="007627ED"/>
    <w:rsid w:val="0076576B"/>
    <w:rsid w:val="00785740"/>
    <w:rsid w:val="00785F42"/>
    <w:rsid w:val="0079181B"/>
    <w:rsid w:val="00791F58"/>
    <w:rsid w:val="00796F51"/>
    <w:rsid w:val="007B64A5"/>
    <w:rsid w:val="007C4A00"/>
    <w:rsid w:val="007D1DB5"/>
    <w:rsid w:val="007E1D2F"/>
    <w:rsid w:val="007E440B"/>
    <w:rsid w:val="007E6981"/>
    <w:rsid w:val="007F708C"/>
    <w:rsid w:val="00830AA4"/>
    <w:rsid w:val="008525F6"/>
    <w:rsid w:val="008706C6"/>
    <w:rsid w:val="00873C4F"/>
    <w:rsid w:val="00890B6F"/>
    <w:rsid w:val="00895646"/>
    <w:rsid w:val="008A070D"/>
    <w:rsid w:val="008D0965"/>
    <w:rsid w:val="008D5BC3"/>
    <w:rsid w:val="008D6277"/>
    <w:rsid w:val="008F5101"/>
    <w:rsid w:val="009070AC"/>
    <w:rsid w:val="00930CE0"/>
    <w:rsid w:val="00952C2B"/>
    <w:rsid w:val="00955D5F"/>
    <w:rsid w:val="00972290"/>
    <w:rsid w:val="009842D3"/>
    <w:rsid w:val="00995EF4"/>
    <w:rsid w:val="00996678"/>
    <w:rsid w:val="009B0354"/>
    <w:rsid w:val="009F4362"/>
    <w:rsid w:val="00A16221"/>
    <w:rsid w:val="00A212B7"/>
    <w:rsid w:val="00A23C41"/>
    <w:rsid w:val="00A27C9C"/>
    <w:rsid w:val="00A33856"/>
    <w:rsid w:val="00A42CD9"/>
    <w:rsid w:val="00A4798B"/>
    <w:rsid w:val="00A54897"/>
    <w:rsid w:val="00A870EE"/>
    <w:rsid w:val="00B15F4A"/>
    <w:rsid w:val="00B321DB"/>
    <w:rsid w:val="00B32C64"/>
    <w:rsid w:val="00B33FA1"/>
    <w:rsid w:val="00B351B3"/>
    <w:rsid w:val="00B64654"/>
    <w:rsid w:val="00B662EC"/>
    <w:rsid w:val="00B677DF"/>
    <w:rsid w:val="00BA23C5"/>
    <w:rsid w:val="00BC01F1"/>
    <w:rsid w:val="00BF047D"/>
    <w:rsid w:val="00C16330"/>
    <w:rsid w:val="00C362B5"/>
    <w:rsid w:val="00C410E3"/>
    <w:rsid w:val="00C41269"/>
    <w:rsid w:val="00C47CFB"/>
    <w:rsid w:val="00C572A9"/>
    <w:rsid w:val="00C745B8"/>
    <w:rsid w:val="00C75289"/>
    <w:rsid w:val="00C914C1"/>
    <w:rsid w:val="00C96A2A"/>
    <w:rsid w:val="00CE1D41"/>
    <w:rsid w:val="00CF39AD"/>
    <w:rsid w:val="00CF44B9"/>
    <w:rsid w:val="00D127F3"/>
    <w:rsid w:val="00D864FA"/>
    <w:rsid w:val="00D907DA"/>
    <w:rsid w:val="00D930D7"/>
    <w:rsid w:val="00D95604"/>
    <w:rsid w:val="00DA0E17"/>
    <w:rsid w:val="00DA1642"/>
    <w:rsid w:val="00DA739F"/>
    <w:rsid w:val="00DD62B4"/>
    <w:rsid w:val="00DF33BF"/>
    <w:rsid w:val="00E14DD1"/>
    <w:rsid w:val="00E20E0F"/>
    <w:rsid w:val="00E83019"/>
    <w:rsid w:val="00E91240"/>
    <w:rsid w:val="00EB6664"/>
    <w:rsid w:val="00EC0252"/>
    <w:rsid w:val="00EC045D"/>
    <w:rsid w:val="00ED3686"/>
    <w:rsid w:val="00F21C7C"/>
    <w:rsid w:val="00F35BC9"/>
    <w:rsid w:val="00F364BC"/>
    <w:rsid w:val="00F41532"/>
    <w:rsid w:val="00F47C25"/>
    <w:rsid w:val="00F57BDE"/>
    <w:rsid w:val="00F76EE1"/>
    <w:rsid w:val="00F80B39"/>
    <w:rsid w:val="00FA7C4C"/>
    <w:rsid w:val="00FE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019AA"/>
  <w15:chartTrackingRefBased/>
  <w15:docId w15:val="{7D471A7F-C6E2-499F-A88E-BAF26677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DB5"/>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7D1DB5"/>
    <w:pPr>
      <w:keepNext/>
      <w:keepLines/>
      <w:spacing w:before="240"/>
      <w:outlineLvl w:val="0"/>
    </w:pPr>
    <w:rPr>
      <w:rFonts w:ascii="Calibri Light" w:eastAsia="MS Gothic" w:hAnsi="Calibri Light"/>
      <w:color w:val="2E74B5"/>
    </w:rPr>
  </w:style>
  <w:style w:type="paragraph" w:styleId="Heading2">
    <w:name w:val="heading 2"/>
    <w:basedOn w:val="Normal"/>
    <w:next w:val="Normal"/>
    <w:link w:val="Heading2Char"/>
    <w:uiPriority w:val="9"/>
    <w:semiHidden/>
    <w:unhideWhenUsed/>
    <w:qFormat/>
    <w:rsid w:val="003618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698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DB5"/>
    <w:pPr>
      <w:tabs>
        <w:tab w:val="center" w:pos="4680"/>
        <w:tab w:val="right" w:pos="9360"/>
      </w:tabs>
    </w:pPr>
  </w:style>
  <w:style w:type="character" w:customStyle="1" w:styleId="HeaderChar">
    <w:name w:val="Header Char"/>
    <w:basedOn w:val="DefaultParagraphFont"/>
    <w:link w:val="Header"/>
    <w:uiPriority w:val="99"/>
    <w:rsid w:val="007D1DB5"/>
  </w:style>
  <w:style w:type="paragraph" w:styleId="Footer">
    <w:name w:val="footer"/>
    <w:basedOn w:val="Normal"/>
    <w:link w:val="FooterChar"/>
    <w:uiPriority w:val="99"/>
    <w:unhideWhenUsed/>
    <w:rsid w:val="007D1DB5"/>
    <w:pPr>
      <w:tabs>
        <w:tab w:val="center" w:pos="4680"/>
        <w:tab w:val="right" w:pos="9360"/>
      </w:tabs>
    </w:pPr>
  </w:style>
  <w:style w:type="character" w:customStyle="1" w:styleId="FooterChar">
    <w:name w:val="Footer Char"/>
    <w:basedOn w:val="DefaultParagraphFont"/>
    <w:link w:val="Footer"/>
    <w:uiPriority w:val="99"/>
    <w:rsid w:val="007D1DB5"/>
  </w:style>
  <w:style w:type="character" w:customStyle="1" w:styleId="normaltextrun">
    <w:name w:val="normaltextrun"/>
    <w:rsid w:val="007D1DB5"/>
  </w:style>
  <w:style w:type="character" w:customStyle="1" w:styleId="Heading1Char">
    <w:name w:val="Heading 1 Char"/>
    <w:basedOn w:val="DefaultParagraphFont"/>
    <w:link w:val="Heading1"/>
    <w:uiPriority w:val="9"/>
    <w:rsid w:val="007D1DB5"/>
    <w:rPr>
      <w:rFonts w:ascii="Calibri Light" w:eastAsia="MS Gothic" w:hAnsi="Calibri Light" w:cs="Times New Roman"/>
      <w:color w:val="2E74B5"/>
      <w:sz w:val="24"/>
      <w:szCs w:val="24"/>
    </w:rPr>
  </w:style>
  <w:style w:type="paragraph" w:customStyle="1" w:styleId="NoteLevel21">
    <w:name w:val="Note Level 21"/>
    <w:basedOn w:val="Normal"/>
    <w:unhideWhenUsed/>
    <w:rsid w:val="007D1DB5"/>
    <w:pPr>
      <w:keepNext/>
      <w:numPr>
        <w:ilvl w:val="1"/>
        <w:numId w:val="1"/>
      </w:numPr>
      <w:contextualSpacing/>
      <w:outlineLvl w:val="1"/>
    </w:pPr>
    <w:rPr>
      <w:rFonts w:ascii="Verdana" w:hAnsi="Verdana"/>
    </w:rPr>
  </w:style>
  <w:style w:type="character" w:styleId="CommentReference">
    <w:name w:val="annotation reference"/>
    <w:uiPriority w:val="99"/>
    <w:semiHidden/>
    <w:unhideWhenUsed/>
    <w:rsid w:val="007D1DB5"/>
    <w:rPr>
      <w:sz w:val="16"/>
      <w:szCs w:val="16"/>
    </w:rPr>
  </w:style>
  <w:style w:type="paragraph" w:styleId="CommentText">
    <w:name w:val="annotation text"/>
    <w:basedOn w:val="Normal"/>
    <w:link w:val="CommentTextChar"/>
    <w:uiPriority w:val="99"/>
    <w:unhideWhenUsed/>
    <w:rsid w:val="007D1DB5"/>
    <w:rPr>
      <w:sz w:val="20"/>
      <w:szCs w:val="20"/>
    </w:rPr>
  </w:style>
  <w:style w:type="character" w:customStyle="1" w:styleId="CommentTextChar">
    <w:name w:val="Comment Text Char"/>
    <w:basedOn w:val="DefaultParagraphFont"/>
    <w:link w:val="CommentText"/>
    <w:uiPriority w:val="99"/>
    <w:rsid w:val="007D1DB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D1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DB5"/>
    <w:rPr>
      <w:rFonts w:ascii="Segoe UI" w:eastAsia="Calibri" w:hAnsi="Segoe UI" w:cs="Segoe UI"/>
      <w:sz w:val="18"/>
      <w:szCs w:val="18"/>
    </w:rPr>
  </w:style>
  <w:style w:type="character" w:styleId="Hyperlink">
    <w:name w:val="Hyperlink"/>
    <w:uiPriority w:val="99"/>
    <w:unhideWhenUsed/>
    <w:rsid w:val="007D1DB5"/>
    <w:rPr>
      <w:color w:val="0563C1"/>
      <w:u w:val="single"/>
    </w:rPr>
  </w:style>
  <w:style w:type="paragraph" w:styleId="NormalWeb">
    <w:name w:val="Normal (Web)"/>
    <w:basedOn w:val="Normal"/>
    <w:uiPriority w:val="99"/>
    <w:rsid w:val="007D1DB5"/>
    <w:pPr>
      <w:spacing w:beforeLines="1" w:afterLines="1"/>
    </w:pPr>
    <w:rPr>
      <w:rFonts w:ascii="Times" w:hAnsi="Times"/>
      <w:sz w:val="20"/>
      <w:szCs w:val="20"/>
      <w:lang w:val="en-GB"/>
    </w:rPr>
  </w:style>
  <w:style w:type="paragraph" w:styleId="FootnoteText">
    <w:name w:val="footnote text"/>
    <w:basedOn w:val="Normal"/>
    <w:link w:val="FootnoteTextChar"/>
    <w:uiPriority w:val="99"/>
    <w:unhideWhenUsed/>
    <w:rsid w:val="007D1DB5"/>
  </w:style>
  <w:style w:type="character" w:customStyle="1" w:styleId="FootnoteTextChar">
    <w:name w:val="Footnote Text Char"/>
    <w:basedOn w:val="DefaultParagraphFont"/>
    <w:link w:val="FootnoteText"/>
    <w:uiPriority w:val="99"/>
    <w:rsid w:val="007D1DB5"/>
    <w:rPr>
      <w:rFonts w:ascii="Calibri" w:eastAsia="Calibri" w:hAnsi="Calibri" w:cs="Times New Roman"/>
      <w:sz w:val="24"/>
      <w:szCs w:val="24"/>
    </w:rPr>
  </w:style>
  <w:style w:type="character" w:styleId="FootnoteReference">
    <w:name w:val="footnote reference"/>
    <w:uiPriority w:val="99"/>
    <w:unhideWhenUsed/>
    <w:rsid w:val="007D1DB5"/>
    <w:rPr>
      <w:vertAlign w:val="superscript"/>
    </w:rPr>
  </w:style>
  <w:style w:type="paragraph" w:styleId="CommentSubject">
    <w:name w:val="annotation subject"/>
    <w:basedOn w:val="CommentText"/>
    <w:next w:val="CommentText"/>
    <w:link w:val="CommentSubjectChar"/>
    <w:uiPriority w:val="99"/>
    <w:semiHidden/>
    <w:unhideWhenUsed/>
    <w:rsid w:val="007C4A00"/>
    <w:rPr>
      <w:b/>
      <w:bCs/>
    </w:rPr>
  </w:style>
  <w:style w:type="character" w:customStyle="1" w:styleId="CommentSubjectChar">
    <w:name w:val="Comment Subject Char"/>
    <w:basedOn w:val="CommentTextChar"/>
    <w:link w:val="CommentSubject"/>
    <w:uiPriority w:val="99"/>
    <w:semiHidden/>
    <w:rsid w:val="007C4A00"/>
    <w:rPr>
      <w:rFonts w:ascii="Calibri" w:eastAsia="Calibri" w:hAnsi="Calibri" w:cs="Times New Roman"/>
      <w:b/>
      <w:bCs/>
      <w:sz w:val="20"/>
      <w:szCs w:val="20"/>
    </w:rPr>
  </w:style>
  <w:style w:type="paragraph" w:customStyle="1" w:styleId="CCCMcontentheading2">
    <w:name w:val="CCCM_content_heading2"/>
    <w:basedOn w:val="Heading2"/>
    <w:next w:val="Normal"/>
    <w:link w:val="CCCMcontentheading2Char"/>
    <w:qFormat/>
    <w:rsid w:val="003618E3"/>
    <w:pPr>
      <w:spacing w:before="240" w:after="120"/>
    </w:pPr>
    <w:rPr>
      <w:rFonts w:ascii="Calibri" w:eastAsia="Times New Roman" w:hAnsi="Calibri" w:cs="Times New Roman"/>
      <w:b/>
      <w:bCs/>
      <w:color w:val="000000"/>
      <w:sz w:val="32"/>
      <w:lang w:eastAsia="x-none"/>
    </w:rPr>
  </w:style>
  <w:style w:type="character" w:customStyle="1" w:styleId="CCCMcontentheading2Char">
    <w:name w:val="CCCM_content_heading2 Char"/>
    <w:link w:val="CCCMcontentheading2"/>
    <w:rsid w:val="003618E3"/>
    <w:rPr>
      <w:rFonts w:ascii="Calibri" w:eastAsia="Times New Roman" w:hAnsi="Calibri" w:cs="Times New Roman"/>
      <w:b/>
      <w:bCs/>
      <w:color w:val="000000"/>
      <w:sz w:val="32"/>
      <w:szCs w:val="26"/>
      <w:lang w:eastAsia="x-none"/>
    </w:rPr>
  </w:style>
  <w:style w:type="character" w:customStyle="1" w:styleId="Heading2Char">
    <w:name w:val="Heading 2 Char"/>
    <w:basedOn w:val="DefaultParagraphFont"/>
    <w:link w:val="Heading2"/>
    <w:uiPriority w:val="9"/>
    <w:semiHidden/>
    <w:rsid w:val="003618E3"/>
    <w:rPr>
      <w:rFonts w:asciiTheme="majorHAnsi" w:eastAsiaTheme="majorEastAsia" w:hAnsiTheme="majorHAnsi" w:cstheme="majorBidi"/>
      <w:color w:val="2E74B5" w:themeColor="accent1" w:themeShade="BF"/>
      <w:sz w:val="26"/>
      <w:szCs w:val="26"/>
    </w:rPr>
  </w:style>
  <w:style w:type="paragraph" w:styleId="ListParagraph">
    <w:name w:val="List Paragraph"/>
    <w:aliases w:val="Premier"/>
    <w:basedOn w:val="Normal"/>
    <w:link w:val="ListParagraphChar"/>
    <w:uiPriority w:val="34"/>
    <w:qFormat/>
    <w:rsid w:val="00583689"/>
    <w:pPr>
      <w:ind w:left="720"/>
      <w:contextualSpacing/>
    </w:pPr>
  </w:style>
  <w:style w:type="table" w:styleId="TableGrid">
    <w:name w:val="Table Grid"/>
    <w:basedOn w:val="TableNormal"/>
    <w:uiPriority w:val="39"/>
    <w:rsid w:val="007E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4DDE"/>
    <w:rPr>
      <w:color w:val="954F72" w:themeColor="followedHyperlink"/>
      <w:u w:val="single"/>
    </w:rPr>
  </w:style>
  <w:style w:type="paragraph" w:customStyle="1" w:styleId="CCCMcontentheading3">
    <w:name w:val="CCCM_content_heading3"/>
    <w:basedOn w:val="Heading3"/>
    <w:next w:val="Normal"/>
    <w:rsid w:val="007E6981"/>
    <w:pPr>
      <w:pBdr>
        <w:top w:val="none" w:sz="0" w:space="0" w:color="000000"/>
        <w:left w:val="none" w:sz="0" w:space="0" w:color="000000"/>
        <w:bottom w:val="single" w:sz="2" w:space="1" w:color="CCCCCC"/>
        <w:right w:val="none" w:sz="0" w:space="0" w:color="000000"/>
      </w:pBdr>
      <w:suppressAutoHyphens/>
      <w:spacing w:before="200" w:after="120"/>
    </w:pPr>
    <w:rPr>
      <w:rFonts w:ascii="Times New Roman" w:eastAsia="Times New Roman" w:hAnsi="Times New Roman" w:cs="Times New Roman"/>
      <w:color w:val="auto"/>
      <w:sz w:val="20"/>
      <w:szCs w:val="20"/>
    </w:rPr>
  </w:style>
  <w:style w:type="paragraph" w:customStyle="1" w:styleId="CCCMcontenttext">
    <w:name w:val="CCCM_content_text"/>
    <w:rsid w:val="007E6981"/>
    <w:pPr>
      <w:suppressAutoHyphens/>
      <w:spacing w:after="100" w:line="240" w:lineRule="auto"/>
    </w:pPr>
    <w:rPr>
      <w:rFonts w:ascii="Times New Roman" w:eastAsia="Times New Roman" w:hAnsi="Times New Roman" w:cs="Times New Roman"/>
      <w:sz w:val="20"/>
      <w:szCs w:val="20"/>
    </w:rPr>
  </w:style>
  <w:style w:type="paragraph" w:customStyle="1" w:styleId="CCCMbulletpoint">
    <w:name w:val="CCCM_bullet_point"/>
    <w:rsid w:val="007E6981"/>
    <w:pPr>
      <w:numPr>
        <w:numId w:val="3"/>
      </w:numPr>
      <w:suppressAutoHyphens/>
      <w:spacing w:before="100" w:after="100"/>
      <w:contextualSpacing/>
    </w:pPr>
    <w:rPr>
      <w:rFonts w:ascii="Times New Roman" w:eastAsia="Times New Roman" w:hAnsi="Times New Roman" w:cs="Times New Roman"/>
      <w:sz w:val="20"/>
      <w:szCs w:val="20"/>
    </w:rPr>
  </w:style>
  <w:style w:type="paragraph" w:customStyle="1" w:styleId="Default">
    <w:name w:val="Default"/>
    <w:rsid w:val="007E698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ListParagraphChar">
    <w:name w:val="List Paragraph Char"/>
    <w:aliases w:val="Premier Char"/>
    <w:link w:val="ListParagraph"/>
    <w:uiPriority w:val="34"/>
    <w:rsid w:val="007E6981"/>
    <w:rPr>
      <w:rFonts w:ascii="Calibri" w:eastAsia="Calibri" w:hAnsi="Calibri" w:cs="Times New Roman"/>
      <w:sz w:val="24"/>
      <w:szCs w:val="24"/>
    </w:rPr>
  </w:style>
  <w:style w:type="character" w:customStyle="1" w:styleId="Heading3Char">
    <w:name w:val="Heading 3 Char"/>
    <w:basedOn w:val="DefaultParagraphFont"/>
    <w:link w:val="Heading3"/>
    <w:uiPriority w:val="9"/>
    <w:semiHidden/>
    <w:rsid w:val="007E6981"/>
    <w:rPr>
      <w:rFonts w:asciiTheme="majorHAnsi" w:eastAsiaTheme="majorEastAsia" w:hAnsiTheme="majorHAnsi" w:cstheme="majorBidi"/>
      <w:color w:val="1F4D78" w:themeColor="accent1" w:themeShade="7F"/>
      <w:sz w:val="24"/>
      <w:szCs w:val="24"/>
    </w:rPr>
  </w:style>
  <w:style w:type="table" w:styleId="MediumGrid1-Accent2">
    <w:name w:val="Medium Grid 1 Accent 2"/>
    <w:basedOn w:val="TableNormal"/>
    <w:uiPriority w:val="67"/>
    <w:semiHidden/>
    <w:unhideWhenUsed/>
    <w:rsid w:val="007E698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CCCMcontentheading1">
    <w:name w:val="CCCM_content_heading1"/>
    <w:basedOn w:val="Heading1"/>
    <w:next w:val="Normal"/>
    <w:qFormat/>
    <w:rsid w:val="00755362"/>
    <w:pPr>
      <w:pBdr>
        <w:bottom w:val="single" w:sz="2" w:space="1" w:color="4BA6DD"/>
      </w:pBdr>
      <w:spacing w:before="360" w:after="240"/>
    </w:pPr>
    <w:rPr>
      <w:rFonts w:ascii="Calibri" w:eastAsia="Times New Roman" w:hAnsi="Calibri"/>
      <w:b/>
      <w:bCs/>
      <w:caps/>
      <w:color w:val="0077C0"/>
      <w:spacing w:val="8"/>
      <w:sz w:val="40"/>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5985">
      <w:bodyDiv w:val="1"/>
      <w:marLeft w:val="0"/>
      <w:marRight w:val="0"/>
      <w:marTop w:val="0"/>
      <w:marBottom w:val="0"/>
      <w:divBdr>
        <w:top w:val="none" w:sz="0" w:space="0" w:color="auto"/>
        <w:left w:val="none" w:sz="0" w:space="0" w:color="auto"/>
        <w:bottom w:val="none" w:sz="0" w:space="0" w:color="auto"/>
        <w:right w:val="none" w:sz="0" w:space="0" w:color="auto"/>
      </w:divBdr>
      <w:divsChild>
        <w:div w:id="311914700">
          <w:marLeft w:val="547"/>
          <w:marRight w:val="0"/>
          <w:marTop w:val="134"/>
          <w:marBottom w:val="0"/>
          <w:divBdr>
            <w:top w:val="none" w:sz="0" w:space="0" w:color="auto"/>
            <w:left w:val="none" w:sz="0" w:space="0" w:color="auto"/>
            <w:bottom w:val="none" w:sz="0" w:space="0" w:color="auto"/>
            <w:right w:val="none" w:sz="0" w:space="0" w:color="auto"/>
          </w:divBdr>
        </w:div>
        <w:div w:id="1632250987">
          <w:marLeft w:val="547"/>
          <w:marRight w:val="0"/>
          <w:marTop w:val="134"/>
          <w:marBottom w:val="0"/>
          <w:divBdr>
            <w:top w:val="none" w:sz="0" w:space="0" w:color="auto"/>
            <w:left w:val="none" w:sz="0" w:space="0" w:color="auto"/>
            <w:bottom w:val="none" w:sz="0" w:space="0" w:color="auto"/>
            <w:right w:val="none" w:sz="0" w:space="0" w:color="auto"/>
          </w:divBdr>
        </w:div>
        <w:div w:id="1807695617">
          <w:marLeft w:val="547"/>
          <w:marRight w:val="0"/>
          <w:marTop w:val="134"/>
          <w:marBottom w:val="0"/>
          <w:divBdr>
            <w:top w:val="none" w:sz="0" w:space="0" w:color="auto"/>
            <w:left w:val="none" w:sz="0" w:space="0" w:color="auto"/>
            <w:bottom w:val="none" w:sz="0" w:space="0" w:color="auto"/>
            <w:right w:val="none" w:sz="0" w:space="0" w:color="auto"/>
          </w:divBdr>
        </w:div>
      </w:divsChild>
    </w:div>
    <w:div w:id="4559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ece29ea-d8c1-4872-9a37-f1a3a9484082">
      <UserInfo>
        <DisplayName/>
        <AccountId xsi:nil="true"/>
        <AccountType/>
      </UserInfo>
    </SharedWithUsers>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36E9E4-F25F-4EFE-BF5D-467C09FB7C5A}"/>
</file>

<file path=customXml/itemProps2.xml><?xml version="1.0" encoding="utf-8"?>
<ds:datastoreItem xmlns:ds="http://schemas.openxmlformats.org/officeDocument/2006/customXml" ds:itemID="{C1C34D94-28B4-4F07-B3B2-D28BA504654A}">
  <ds:schemaRefs>
    <ds:schemaRef ds:uri="http://schemas.openxmlformats.org/officeDocument/2006/bibliography"/>
  </ds:schemaRefs>
</ds:datastoreItem>
</file>

<file path=customXml/itemProps3.xml><?xml version="1.0" encoding="utf-8"?>
<ds:datastoreItem xmlns:ds="http://schemas.openxmlformats.org/officeDocument/2006/customXml" ds:itemID="{877B12CB-C37A-4D7D-BCBB-A9DE02F6074E}">
  <ds:schemaRefs>
    <ds:schemaRef ds:uri="http://schemas.microsoft.com/sharepoint/v3/contenttype/forms"/>
  </ds:schemaRefs>
</ds:datastoreItem>
</file>

<file path=customXml/itemProps4.xml><?xml version="1.0" encoding="utf-8"?>
<ds:datastoreItem xmlns:ds="http://schemas.openxmlformats.org/officeDocument/2006/customXml" ds:itemID="{6087A36D-B880-4E0B-8A77-89CF696407AE}">
  <ds:schemaRefs>
    <ds:schemaRef ds:uri="http://schemas.microsoft.com/office/2006/metadata/properties"/>
    <ds:schemaRef ds:uri="http://schemas.microsoft.com/office/infopath/2007/PartnerControls"/>
    <ds:schemaRef ds:uri="72eb3475-e0f4-42fd-ab5c-abe08d673cdb"/>
    <ds:schemaRef ds:uri="4d2685e0-3ec3-4526-a337-bc02c6b3961c"/>
    <ds:schemaRef ds:uri="fece29ea-d8c1-4872-9a37-f1a3a9484082"/>
    <ds:schemaRef ds:uri="63e0d7cd-59d0-4300-9182-4f5ac259ff1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KARAPANDI Erica</dc:creator>
  <cp:keywords/>
  <dc:description/>
  <cp:lastModifiedBy>Jo Langkamp</cp:lastModifiedBy>
  <cp:revision>5</cp:revision>
  <cp:lastPrinted>2018-09-13T11:16:00Z</cp:lastPrinted>
  <dcterms:created xsi:type="dcterms:W3CDTF">2019-01-16T14:51:00Z</dcterms:created>
  <dcterms:modified xsi:type="dcterms:W3CDTF">2023-03-13T16:52:00Z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y fmtid="{D5CDD505-2E9C-101B-9397-08002B2CF9AE}" pid="3" name="Order">
    <vt:r8>586400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