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77AFE" w14:textId="6A59A21C" w:rsidR="00E8047C" w:rsidRPr="001C6A23" w:rsidRDefault="00E8047C" w:rsidP="00E8047C">
      <w:pPr>
        <w:pStyle w:val="Heading1"/>
        <w:spacing w:before="120" w:after="144"/>
        <w:jc w:val="both"/>
      </w:pPr>
      <w:r>
        <w:rPr>
          <w:noProof/>
          <w:lang w:val="en-US"/>
        </w:rPr>
        <w:drawing>
          <wp:inline distT="0" distB="0" distL="0" distR="0" wp14:anchorId="7A32C2E9" wp14:editId="086C5BDC">
            <wp:extent cx="208280" cy="243205"/>
            <wp:effectExtent l="0" t="0" r="0" b="10795"/>
            <wp:docPr id="3" name="Picture 1" descr="clock-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ck-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80" cy="243205"/>
                    </a:xfrm>
                    <a:prstGeom prst="rect">
                      <a:avLst/>
                    </a:prstGeom>
                    <a:noFill/>
                    <a:ln>
                      <a:noFill/>
                    </a:ln>
                  </pic:spPr>
                </pic:pic>
              </a:graphicData>
            </a:graphic>
          </wp:inline>
        </w:drawing>
      </w:r>
      <w:r>
        <w:rPr>
          <w:rStyle w:val="Heading1Char"/>
        </w:rPr>
        <w:t xml:space="preserve"> </w:t>
      </w:r>
      <w:r w:rsidR="00BA252F">
        <w:rPr>
          <w:noProof/>
        </w:rPr>
        <w:t>135</w:t>
      </w:r>
      <w:bookmarkStart w:id="0" w:name="_GoBack"/>
      <w:bookmarkEnd w:id="0"/>
      <w:r w:rsidRPr="001C6A23">
        <w:rPr>
          <w:noProof/>
        </w:rPr>
        <w:t xml:space="preserve"> Minutes</w:t>
      </w:r>
      <w:r w:rsidRPr="00D22214">
        <w:rPr>
          <w:noProof/>
        </w:rPr>
        <w:t xml:space="preserve"> </w:t>
      </w:r>
      <w:r w:rsidRPr="001C6A23">
        <w:rPr>
          <w:b/>
        </w:rPr>
        <w:t>(</w:t>
      </w:r>
      <w:r w:rsidRPr="001C6A23">
        <w:rPr>
          <w:lang w:val="en-US"/>
        </w:rPr>
        <w:t>Core</w:t>
      </w:r>
      <w:r w:rsidRPr="001C6A23">
        <w:t xml:space="preserve"> Module</w:t>
      </w:r>
      <w:r w:rsidRPr="001C6A23">
        <w:rPr>
          <w:b/>
        </w:rPr>
        <w:t>)</w:t>
      </w:r>
    </w:p>
    <w:p w14:paraId="13A658F7" w14:textId="77777777" w:rsidR="00E8047C" w:rsidRPr="001C6A23" w:rsidRDefault="00E8047C" w:rsidP="00E8047C">
      <w:pPr>
        <w:pStyle w:val="Heading1"/>
        <w:spacing w:after="144"/>
      </w:pPr>
      <w:r w:rsidRPr="001C6A23">
        <w:t>Why does this session matter?</w:t>
      </w:r>
    </w:p>
    <w:p w14:paraId="41FB34C3" w14:textId="225130EA" w:rsidR="00E8047C" w:rsidRPr="007C3D84" w:rsidRDefault="00E8047C" w:rsidP="00CD56E8">
      <w:pPr>
        <w:spacing w:after="144"/>
        <w:rPr>
          <w:rFonts w:cs="Tahoma"/>
        </w:rPr>
      </w:pPr>
      <w:r w:rsidRPr="001C6A23">
        <w:rPr>
          <w:lang w:val="en-US"/>
        </w:rPr>
        <w:t xml:space="preserve">This module highlights the importance of </w:t>
      </w:r>
      <w:r w:rsidR="00CD56E8">
        <w:rPr>
          <w:lang w:val="en-US"/>
        </w:rPr>
        <w:t xml:space="preserve">fire prevention and safety in Somalia IDP sites. Informal and densely populated settlements pose acute risks of fire that can be greatly mitigated through adjustments to the sites configuration and general education on preventing fires.  Learning about safe practices such as cooking techniques and disposing of hot coals is imperative in ensuring that fires will not start and spread.  Furthermore, educating the general population about how to respond if a fire does start is critical in saving lives and prompting an adequate fire response.  Since many sites do not have fire prevention equipment, the IDP site must be self-reliant </w:t>
      </w:r>
      <w:r w:rsidR="00CD56E8">
        <w:rPr>
          <w:rFonts w:cs="Tahoma"/>
          <w:lang w:val="en-US"/>
        </w:rPr>
        <w:t>on methods of disposing fires in addition to being connected the public response service which may be operational in larger towns and cities.</w:t>
      </w:r>
    </w:p>
    <w:p w14:paraId="5D23F794" w14:textId="77777777" w:rsidR="00E8047C" w:rsidRPr="001C6A23" w:rsidRDefault="00E8047C" w:rsidP="00E8047C">
      <w:pPr>
        <w:pStyle w:val="Heading1"/>
        <w:spacing w:after="144"/>
      </w:pPr>
      <w:r w:rsidRPr="001C6A23">
        <w:t xml:space="preserve">Learning Objectives </w:t>
      </w:r>
    </w:p>
    <w:p w14:paraId="47DDC155" w14:textId="77777777" w:rsidR="00E8047C" w:rsidRPr="001C6A23" w:rsidRDefault="00E8047C" w:rsidP="00E8047C">
      <w:pPr>
        <w:spacing w:after="144"/>
      </w:pPr>
      <w:bookmarkStart w:id="1" w:name="OLE_LINK1"/>
      <w:bookmarkStart w:id="2" w:name="OLE_LINK2"/>
      <w:r w:rsidRPr="001C6A23">
        <w:t>At the end of this session participants will be able to:</w:t>
      </w:r>
    </w:p>
    <w:p w14:paraId="61FD293C" w14:textId="77777777" w:rsidR="00CD56E8" w:rsidRDefault="00E8047C" w:rsidP="00E8047C">
      <w:pPr>
        <w:pStyle w:val="NoteLevel21"/>
        <w:spacing w:after="144"/>
      </w:pPr>
      <w:r w:rsidRPr="00782B0F">
        <w:t>Identify to what extent different community group</w:t>
      </w:r>
      <w:r>
        <w:t>s</w:t>
      </w:r>
      <w:r w:rsidRPr="00782B0F">
        <w:t xml:space="preserve"> participate in</w:t>
      </w:r>
      <w:r>
        <w:t xml:space="preserve"> daily</w:t>
      </w:r>
      <w:r w:rsidRPr="00782B0F">
        <w:t xml:space="preserve"> </w:t>
      </w:r>
      <w:r>
        <w:t>site</w:t>
      </w:r>
      <w:r w:rsidRPr="00782B0F">
        <w:t xml:space="preserve"> </w:t>
      </w:r>
      <w:r>
        <w:t>activities</w:t>
      </w:r>
    </w:p>
    <w:p w14:paraId="11C39FF1" w14:textId="3D9F01A0" w:rsidR="00CD56E8" w:rsidRDefault="00CD56E8" w:rsidP="00E8047C">
      <w:pPr>
        <w:pStyle w:val="NoteLevel21"/>
        <w:spacing w:after="144"/>
      </w:pPr>
      <w:r>
        <w:t>Work to sensitize the community about fire mitigation measures</w:t>
      </w:r>
    </w:p>
    <w:p w14:paraId="18DBA6E9" w14:textId="76DAFA66" w:rsidR="00CD56E8" w:rsidRDefault="00CD56E8" w:rsidP="00E8047C">
      <w:pPr>
        <w:pStyle w:val="NoteLevel21"/>
        <w:spacing w:after="144"/>
      </w:pPr>
      <w:r>
        <w:t>To minimize pure losses from fire exposure</w:t>
      </w:r>
    </w:p>
    <w:p w14:paraId="7F2D2D8E" w14:textId="03398DB0" w:rsidR="00051CBC" w:rsidRDefault="00051CBC" w:rsidP="00E8047C">
      <w:pPr>
        <w:pStyle w:val="NoteLevel21"/>
        <w:spacing w:after="144"/>
      </w:pPr>
      <w:r>
        <w:t>Provide SPHERE standards for fire prevention that CMC members can authorize in their respective sites if applicable</w:t>
      </w:r>
    </w:p>
    <w:p w14:paraId="3DDB906F" w14:textId="6A028ECD" w:rsidR="00051CBC" w:rsidRDefault="00051CBC" w:rsidP="00E8047C">
      <w:pPr>
        <w:pStyle w:val="NoteLevel21"/>
        <w:spacing w:after="144"/>
      </w:pPr>
      <w:r>
        <w:t>Build inter-community networks that can assist community members in warning about the potential fire risks and educating members of the community about how to respond to a fire</w:t>
      </w:r>
    </w:p>
    <w:p w14:paraId="49C4FFFC" w14:textId="78113377" w:rsidR="00CD56E8" w:rsidRDefault="00CD56E8" w:rsidP="00E8047C">
      <w:pPr>
        <w:pStyle w:val="NoteLevel21"/>
        <w:spacing w:after="144"/>
      </w:pPr>
      <w:r>
        <w:t xml:space="preserve">Educate communities with ways to respond to fires in cases where fire prevention equipment is not available </w:t>
      </w:r>
    </w:p>
    <w:p w14:paraId="46F05E88" w14:textId="0E675C74" w:rsidR="00CD56E8" w:rsidRDefault="00CD56E8" w:rsidP="00E8047C">
      <w:pPr>
        <w:pStyle w:val="NoteLevel21"/>
        <w:spacing w:after="144"/>
      </w:pPr>
      <w:r>
        <w:t>Connect communities with some of the fire emergency prevention systems available in a specific region/town/city</w:t>
      </w:r>
    </w:p>
    <w:p w14:paraId="36A33F43" w14:textId="77777777" w:rsidR="00CD56E8" w:rsidRPr="00051CBC" w:rsidRDefault="00CD56E8" w:rsidP="00051CBC">
      <w:pPr>
        <w:pStyle w:val="ListParagraph"/>
        <w:spacing w:before="0" w:afterLines="0" w:after="144" w:line="240" w:lineRule="auto"/>
        <w:ind w:left="0"/>
        <w:jc w:val="left"/>
        <w:rPr>
          <w:rFonts w:ascii="Calibri" w:eastAsiaTheme="minorHAnsi" w:hAnsi="Calibri"/>
          <w:sz w:val="18"/>
          <w:szCs w:val="18"/>
          <w:lang w:val="en-US"/>
        </w:rPr>
      </w:pPr>
    </w:p>
    <w:p w14:paraId="7C3D8DD3" w14:textId="77777777" w:rsidR="00CD56E8" w:rsidRPr="00CD56E8" w:rsidRDefault="00CD56E8" w:rsidP="00CD56E8">
      <w:pPr>
        <w:pStyle w:val="NoteLevel21"/>
        <w:numPr>
          <w:ilvl w:val="0"/>
          <w:numId w:val="0"/>
        </w:numPr>
        <w:spacing w:after="144"/>
        <w:ind w:left="720"/>
        <w:rPr>
          <w:lang w:val="en-US"/>
        </w:rPr>
      </w:pPr>
    </w:p>
    <w:p w14:paraId="214EA82E" w14:textId="4823CAB9" w:rsidR="00E8047C" w:rsidRDefault="00E8047C" w:rsidP="00CD56E8">
      <w:pPr>
        <w:pStyle w:val="NoteLevel21"/>
        <w:numPr>
          <w:ilvl w:val="0"/>
          <w:numId w:val="0"/>
        </w:numPr>
        <w:spacing w:after="144"/>
        <w:ind w:left="1080"/>
      </w:pPr>
      <w:r>
        <w:t xml:space="preserve"> </w:t>
      </w:r>
    </w:p>
    <w:p w14:paraId="1222813F" w14:textId="77777777" w:rsidR="00E8047C" w:rsidRPr="00D1591D" w:rsidRDefault="00E8047C" w:rsidP="00E8047C">
      <w:pPr>
        <w:pStyle w:val="NoteLevel21"/>
        <w:numPr>
          <w:ilvl w:val="0"/>
          <w:numId w:val="0"/>
        </w:numPr>
        <w:spacing w:after="144"/>
        <w:ind w:left="567"/>
        <w:rPr>
          <w:rFonts w:ascii="Calibri" w:hAnsi="Calibri"/>
        </w:rPr>
      </w:pPr>
    </w:p>
    <w:p w14:paraId="50C4F67F" w14:textId="77777777" w:rsidR="00E8047C" w:rsidRPr="00D1591D" w:rsidRDefault="00E8047C" w:rsidP="00E8047C">
      <w:pPr>
        <w:pStyle w:val="NoteLevel21"/>
        <w:numPr>
          <w:ilvl w:val="0"/>
          <w:numId w:val="0"/>
        </w:numPr>
        <w:spacing w:after="144"/>
        <w:ind w:left="567"/>
        <w:rPr>
          <w:color w:val="FF0000"/>
        </w:rPr>
      </w:pPr>
      <w:r w:rsidRPr="00782B0F">
        <w:t xml:space="preserve"> </w:t>
      </w:r>
      <w:bookmarkEnd w:id="1"/>
      <w:bookmarkEnd w:id="2"/>
    </w:p>
    <w:p w14:paraId="2F315136" w14:textId="77777777" w:rsidR="00E8047C" w:rsidRDefault="00E8047C" w:rsidP="00E8047C">
      <w:pPr>
        <w:pStyle w:val="NoteLevel21"/>
        <w:numPr>
          <w:ilvl w:val="0"/>
          <w:numId w:val="0"/>
        </w:numPr>
        <w:spacing w:after="144"/>
        <w:rPr>
          <w:color w:val="FF0000"/>
        </w:rPr>
      </w:pPr>
    </w:p>
    <w:p w14:paraId="12054DC0" w14:textId="77777777" w:rsidR="00E8047C" w:rsidRPr="00D1591D" w:rsidRDefault="00E8047C" w:rsidP="00E8047C">
      <w:pPr>
        <w:pStyle w:val="NoteLevel21"/>
        <w:numPr>
          <w:ilvl w:val="0"/>
          <w:numId w:val="0"/>
        </w:numPr>
        <w:spacing w:after="144"/>
        <w:rPr>
          <w:color w:val="FF0000"/>
        </w:rPr>
      </w:pPr>
      <w:r w:rsidRPr="001C6A23">
        <w:t xml:space="preserve">Key Messages  </w:t>
      </w:r>
    </w:p>
    <w:p w14:paraId="498DCAD1" w14:textId="7C2C17B0" w:rsidR="00051CBC" w:rsidRDefault="00051CBC" w:rsidP="00051CBC">
      <w:pPr>
        <w:pStyle w:val="NoteLevel21"/>
        <w:numPr>
          <w:ilvl w:val="0"/>
          <w:numId w:val="3"/>
        </w:numPr>
        <w:spacing w:after="144"/>
      </w:pPr>
      <w:r>
        <w:t>Fire Prevention training is a specialized subject that should be carried out by fire safety technicians when possible.  If CCCM partners are working in locations where there is a public fire response department, we would recommend carrying out this training in joint tandem with this service.  If public fire response departments are able to participate, please make sure you agree on a training session plan that is contextual to the situation in IDP settlements and focuses on how communities can prevent and respond to localized fires.</w:t>
      </w:r>
    </w:p>
    <w:p w14:paraId="4295BB11" w14:textId="7EF99112" w:rsidR="00051CBC" w:rsidRDefault="005512BB" w:rsidP="00051CBC">
      <w:pPr>
        <w:pStyle w:val="NoteLevel21"/>
        <w:numPr>
          <w:ilvl w:val="0"/>
          <w:numId w:val="3"/>
        </w:numPr>
        <w:spacing w:after="144"/>
      </w:pPr>
      <w:r>
        <w:lastRenderedPageBreak/>
        <w:t>When possible, it is good practice to meet with public fire response departments retrieving response information and contact numbers that members of the community can have in case of fires within IDP sites</w:t>
      </w:r>
    </w:p>
    <w:p w14:paraId="0B02A17B" w14:textId="2752B920" w:rsidR="005512BB" w:rsidRDefault="005512BB" w:rsidP="00051CBC">
      <w:pPr>
        <w:pStyle w:val="NoteLevel21"/>
        <w:numPr>
          <w:ilvl w:val="0"/>
          <w:numId w:val="3"/>
        </w:numPr>
        <w:spacing w:after="144"/>
      </w:pPr>
      <w:r>
        <w:t>IDP</w:t>
      </w:r>
      <w:r w:rsidR="00B369D5">
        <w:t xml:space="preserve"> sites are adversely at risk to fire due to their dense configuration and lack of </w:t>
      </w:r>
      <w:r w:rsidR="00EE022A">
        <w:t>adequate kitchen and cooking areas</w:t>
      </w:r>
    </w:p>
    <w:p w14:paraId="331AD463" w14:textId="024286CD" w:rsidR="00EE022A" w:rsidRDefault="00D27294" w:rsidP="00051CBC">
      <w:pPr>
        <w:pStyle w:val="NoteLevel21"/>
        <w:numPr>
          <w:ilvl w:val="0"/>
          <w:numId w:val="3"/>
        </w:numPr>
        <w:spacing w:after="144"/>
      </w:pPr>
      <w:r>
        <w:t>Communicating fire prevention best practices to all members of the community is important in threat mitigation of fires</w:t>
      </w:r>
    </w:p>
    <w:p w14:paraId="4D3A0B1D" w14:textId="46B8C8D8" w:rsidR="00D27294" w:rsidRDefault="001E52CA" w:rsidP="00051CBC">
      <w:pPr>
        <w:pStyle w:val="NoteLevel21"/>
        <w:numPr>
          <w:ilvl w:val="0"/>
          <w:numId w:val="3"/>
        </w:numPr>
        <w:spacing w:after="144"/>
      </w:pPr>
      <w:r>
        <w:t>Evacuation points should be identified by CMC members within their communities</w:t>
      </w:r>
    </w:p>
    <w:p w14:paraId="4BA9A8AD" w14:textId="77777777" w:rsidR="001E52CA" w:rsidRDefault="001E52CA" w:rsidP="001E52CA">
      <w:pPr>
        <w:pStyle w:val="NoteLevel21"/>
        <w:numPr>
          <w:ilvl w:val="0"/>
          <w:numId w:val="0"/>
        </w:numPr>
        <w:spacing w:after="144"/>
        <w:ind w:left="720"/>
      </w:pPr>
    </w:p>
    <w:p w14:paraId="5FAA7F4D" w14:textId="77777777" w:rsidR="00051CBC" w:rsidRDefault="00051CBC" w:rsidP="00051CBC">
      <w:pPr>
        <w:pStyle w:val="NoteLevel21"/>
        <w:numPr>
          <w:ilvl w:val="0"/>
          <w:numId w:val="0"/>
        </w:numPr>
        <w:spacing w:after="144"/>
        <w:ind w:left="720"/>
      </w:pPr>
    </w:p>
    <w:p w14:paraId="69668FA1" w14:textId="216562D8" w:rsidR="00E8047C" w:rsidRDefault="00E8047C" w:rsidP="00051CBC">
      <w:pPr>
        <w:pStyle w:val="NoteLevel21"/>
        <w:numPr>
          <w:ilvl w:val="0"/>
          <w:numId w:val="0"/>
        </w:numPr>
        <w:spacing w:after="144"/>
        <w:ind w:left="1080" w:hanging="360"/>
      </w:pPr>
      <w:r w:rsidRPr="001C6A23">
        <w:t>Session Plan</w:t>
      </w:r>
    </w:p>
    <w:tbl>
      <w:tblPr>
        <w:tblStyle w:val="LightShading-Accent1"/>
        <w:tblW w:w="9072" w:type="dxa"/>
        <w:tblInd w:w="108" w:type="dxa"/>
        <w:tblBorders>
          <w:insideH w:val="single" w:sz="8" w:space="0" w:color="4F81BD"/>
        </w:tblBorders>
        <w:tblLook w:val="00A0" w:firstRow="1" w:lastRow="0" w:firstColumn="1" w:lastColumn="0" w:noHBand="0" w:noVBand="0"/>
      </w:tblPr>
      <w:tblGrid>
        <w:gridCol w:w="973"/>
        <w:gridCol w:w="3280"/>
        <w:gridCol w:w="3544"/>
        <w:gridCol w:w="1275"/>
      </w:tblGrid>
      <w:tr w:rsidR="00E8047C" w:rsidRPr="00C555AD" w14:paraId="416F0F1B" w14:textId="77777777" w:rsidTr="00B1354F">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73" w:type="dxa"/>
            <w:shd w:val="clear" w:color="auto" w:fill="D9E2F3" w:themeFill="accent1" w:themeFillTint="33"/>
          </w:tcPr>
          <w:p w14:paraId="1EA114E4" w14:textId="77777777" w:rsidR="00E8047C" w:rsidRPr="00C555AD" w:rsidRDefault="00E8047C" w:rsidP="00B1354F">
            <w:pPr>
              <w:spacing w:after="144"/>
              <w:rPr>
                <w:color w:val="auto"/>
              </w:rPr>
            </w:pPr>
            <w:r w:rsidRPr="00C555AD">
              <w:rPr>
                <w:color w:val="auto"/>
              </w:rPr>
              <w:t>Activity</w:t>
            </w:r>
          </w:p>
        </w:tc>
        <w:tc>
          <w:tcPr>
            <w:cnfStyle w:val="000010000000" w:firstRow="0" w:lastRow="0" w:firstColumn="0" w:lastColumn="0" w:oddVBand="1" w:evenVBand="0" w:oddHBand="0" w:evenHBand="0" w:firstRowFirstColumn="0" w:firstRowLastColumn="0" w:lastRowFirstColumn="0" w:lastRowLastColumn="0"/>
            <w:tcW w:w="3280" w:type="dxa"/>
            <w:shd w:val="clear" w:color="auto" w:fill="D9E2F3" w:themeFill="accent1" w:themeFillTint="33"/>
          </w:tcPr>
          <w:p w14:paraId="24AB3CE8" w14:textId="77777777" w:rsidR="00E8047C" w:rsidRPr="00C555AD" w:rsidRDefault="00E8047C" w:rsidP="00B1354F">
            <w:pPr>
              <w:spacing w:after="144"/>
              <w:rPr>
                <w:color w:val="auto"/>
              </w:rPr>
            </w:pPr>
            <w:r w:rsidRPr="00C555AD">
              <w:rPr>
                <w:color w:val="auto"/>
              </w:rPr>
              <w:t>Topic</w:t>
            </w:r>
          </w:p>
        </w:tc>
        <w:tc>
          <w:tcPr>
            <w:tcW w:w="3544" w:type="dxa"/>
            <w:shd w:val="clear" w:color="auto" w:fill="D9E2F3" w:themeFill="accent1" w:themeFillTint="33"/>
          </w:tcPr>
          <w:p w14:paraId="584C4E19" w14:textId="77777777" w:rsidR="00E8047C" w:rsidRPr="00C555AD" w:rsidRDefault="00E8047C" w:rsidP="00B1354F">
            <w:pPr>
              <w:spacing w:after="144"/>
              <w:cnfStyle w:val="100000000000" w:firstRow="1" w:lastRow="0" w:firstColumn="0" w:lastColumn="0" w:oddVBand="0" w:evenVBand="0" w:oddHBand="0" w:evenHBand="0" w:firstRowFirstColumn="0" w:firstRowLastColumn="0" w:lastRowFirstColumn="0" w:lastRowLastColumn="0"/>
              <w:rPr>
                <w:color w:val="auto"/>
              </w:rPr>
            </w:pPr>
            <w:r w:rsidRPr="00C555AD">
              <w:rPr>
                <w:color w:val="auto"/>
              </w:rPr>
              <w:t>Method</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D9E2F3" w:themeFill="accent1" w:themeFillTint="33"/>
          </w:tcPr>
          <w:p w14:paraId="025CE94E" w14:textId="77777777" w:rsidR="00E8047C" w:rsidRPr="00C555AD" w:rsidRDefault="00E8047C" w:rsidP="00B1354F">
            <w:pPr>
              <w:spacing w:after="144"/>
              <w:rPr>
                <w:color w:val="auto"/>
              </w:rPr>
            </w:pPr>
            <w:r w:rsidRPr="00C555AD">
              <w:rPr>
                <w:color w:val="auto"/>
              </w:rPr>
              <w:t>Timing</w:t>
            </w:r>
          </w:p>
        </w:tc>
      </w:tr>
      <w:tr w:rsidR="00E8047C" w:rsidRPr="00C555AD" w14:paraId="219B09AD" w14:textId="77777777" w:rsidTr="00B1354F">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973" w:type="dxa"/>
            <w:shd w:val="clear" w:color="auto" w:fill="auto"/>
            <w:vAlign w:val="center"/>
          </w:tcPr>
          <w:p w14:paraId="4279C77E" w14:textId="05696FF9" w:rsidR="00E8047C" w:rsidRDefault="00944021" w:rsidP="00B1354F">
            <w:pPr>
              <w:spacing w:after="144"/>
              <w:jc w:val="left"/>
              <w:rPr>
                <w:color w:val="auto"/>
              </w:rPr>
            </w:pPr>
            <w:r>
              <w:rPr>
                <w:color w:val="auto"/>
              </w:rPr>
              <w:t>1</w:t>
            </w:r>
          </w:p>
          <w:p w14:paraId="740A8FFB" w14:textId="52B96747" w:rsidR="005B2AB3" w:rsidRPr="007C3D84" w:rsidRDefault="00944021" w:rsidP="00B1354F">
            <w:pPr>
              <w:spacing w:after="144"/>
              <w:jc w:val="left"/>
              <w:rPr>
                <w:color w:val="auto"/>
              </w:rPr>
            </w:pPr>
            <w:r>
              <w:rPr>
                <w:color w:val="auto"/>
              </w:rPr>
              <w:t>2</w:t>
            </w:r>
          </w:p>
        </w:tc>
        <w:tc>
          <w:tcPr>
            <w:cnfStyle w:val="000010000000" w:firstRow="0" w:lastRow="0" w:firstColumn="0" w:lastColumn="0" w:oddVBand="1" w:evenVBand="0" w:oddHBand="0" w:evenHBand="0" w:firstRowFirstColumn="0" w:firstRowLastColumn="0" w:lastRowFirstColumn="0" w:lastRowLastColumn="0"/>
            <w:tcW w:w="3280" w:type="dxa"/>
            <w:tcBorders>
              <w:bottom w:val="single" w:sz="8" w:space="0" w:color="4F81BD"/>
            </w:tcBorders>
            <w:shd w:val="clear" w:color="auto" w:fill="auto"/>
            <w:vAlign w:val="center"/>
          </w:tcPr>
          <w:p w14:paraId="54722D86" w14:textId="77777777" w:rsidR="005B2AB3" w:rsidRDefault="005B2AB3" w:rsidP="00B1354F">
            <w:pPr>
              <w:spacing w:after="144"/>
              <w:jc w:val="left"/>
              <w:rPr>
                <w:color w:val="auto"/>
              </w:rPr>
            </w:pPr>
          </w:p>
          <w:p w14:paraId="74B82727" w14:textId="3B4946C5" w:rsidR="005B2AB3" w:rsidRDefault="005B2AB3" w:rsidP="00B1354F">
            <w:pPr>
              <w:spacing w:after="144"/>
              <w:jc w:val="left"/>
              <w:rPr>
                <w:color w:val="auto"/>
              </w:rPr>
            </w:pPr>
            <w:r>
              <w:rPr>
                <w:color w:val="auto"/>
              </w:rPr>
              <w:t>Community fire prevention and fire safety plans</w:t>
            </w:r>
          </w:p>
          <w:p w14:paraId="5442769C" w14:textId="04069F29" w:rsidR="005B2AB3" w:rsidRPr="007C3D84" w:rsidRDefault="005B2AB3" w:rsidP="00B1354F">
            <w:pPr>
              <w:spacing w:after="144"/>
              <w:jc w:val="left"/>
              <w:rPr>
                <w:color w:val="auto"/>
              </w:rPr>
            </w:pPr>
            <w:r>
              <w:rPr>
                <w:color w:val="auto"/>
              </w:rPr>
              <w:t xml:space="preserve">Communicating fire safety and prevention knowledge to members of the </w:t>
            </w:r>
            <w:r w:rsidR="007E4484">
              <w:rPr>
                <w:color w:val="auto"/>
              </w:rPr>
              <w:t>community</w:t>
            </w:r>
          </w:p>
        </w:tc>
        <w:tc>
          <w:tcPr>
            <w:tcW w:w="3544" w:type="dxa"/>
            <w:tcBorders>
              <w:bottom w:val="single" w:sz="8" w:space="0" w:color="4F81BD"/>
            </w:tcBorders>
            <w:shd w:val="clear" w:color="auto" w:fill="auto"/>
            <w:vAlign w:val="center"/>
          </w:tcPr>
          <w:p w14:paraId="1A905A9E" w14:textId="77777777" w:rsidR="00E8047C" w:rsidRDefault="00E8047C" w:rsidP="00B1354F">
            <w:pPr>
              <w:spacing w:after="144"/>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Activity, Plenary</w:t>
            </w:r>
          </w:p>
          <w:p w14:paraId="2EF128D4" w14:textId="77777777" w:rsidR="005B2AB3" w:rsidRDefault="005B2AB3" w:rsidP="00B1354F">
            <w:pPr>
              <w:spacing w:after="144"/>
              <w:jc w:val="left"/>
              <w:cnfStyle w:val="000000100000" w:firstRow="0" w:lastRow="0" w:firstColumn="0" w:lastColumn="0" w:oddVBand="0" w:evenVBand="0" w:oddHBand="1" w:evenHBand="0" w:firstRowFirstColumn="0" w:firstRowLastColumn="0" w:lastRowFirstColumn="0" w:lastRowLastColumn="0"/>
              <w:rPr>
                <w:color w:val="auto"/>
              </w:rPr>
            </w:pPr>
          </w:p>
          <w:p w14:paraId="14CD2434" w14:textId="052CCC49" w:rsidR="005B2AB3" w:rsidRPr="007C3D84" w:rsidRDefault="005B2AB3" w:rsidP="00B1354F">
            <w:pPr>
              <w:spacing w:after="144"/>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Active</w:t>
            </w:r>
          </w:p>
        </w:tc>
        <w:tc>
          <w:tcPr>
            <w:cnfStyle w:val="000010000000" w:firstRow="0" w:lastRow="0" w:firstColumn="0" w:lastColumn="0" w:oddVBand="1" w:evenVBand="0" w:oddHBand="0" w:evenHBand="0" w:firstRowFirstColumn="0" w:firstRowLastColumn="0" w:lastRowFirstColumn="0" w:lastRowLastColumn="0"/>
            <w:tcW w:w="1275" w:type="dxa"/>
            <w:tcBorders>
              <w:bottom w:val="single" w:sz="8" w:space="0" w:color="4F81BD"/>
            </w:tcBorders>
            <w:shd w:val="clear" w:color="auto" w:fill="auto"/>
            <w:vAlign w:val="center"/>
          </w:tcPr>
          <w:p w14:paraId="411CC138" w14:textId="5CBEA67E" w:rsidR="00E8047C" w:rsidRDefault="00BA252F" w:rsidP="00B1354F">
            <w:pPr>
              <w:spacing w:after="144"/>
              <w:rPr>
                <w:color w:val="auto"/>
              </w:rPr>
            </w:pPr>
            <w:r>
              <w:rPr>
                <w:color w:val="auto"/>
              </w:rPr>
              <w:t>75</w:t>
            </w:r>
            <w:r w:rsidR="00E8047C" w:rsidRPr="007C3D84">
              <w:rPr>
                <w:color w:val="auto"/>
              </w:rPr>
              <w:t>’</w:t>
            </w:r>
          </w:p>
          <w:p w14:paraId="22A5C265" w14:textId="77777777" w:rsidR="005B2AB3" w:rsidRDefault="005B2AB3" w:rsidP="00B1354F">
            <w:pPr>
              <w:spacing w:after="144"/>
              <w:rPr>
                <w:color w:val="auto"/>
              </w:rPr>
            </w:pPr>
          </w:p>
          <w:p w14:paraId="1CF29717" w14:textId="79FD6586" w:rsidR="005B2AB3" w:rsidRPr="007C3D84" w:rsidRDefault="00BA252F" w:rsidP="00B1354F">
            <w:pPr>
              <w:spacing w:after="144"/>
              <w:rPr>
                <w:color w:val="auto"/>
              </w:rPr>
            </w:pPr>
            <w:r>
              <w:rPr>
                <w:color w:val="auto"/>
              </w:rPr>
              <w:t>60</w:t>
            </w:r>
            <w:r w:rsidR="005B2AB3">
              <w:rPr>
                <w:color w:val="auto"/>
              </w:rPr>
              <w:t>’</w:t>
            </w:r>
          </w:p>
        </w:tc>
      </w:tr>
    </w:tbl>
    <w:p w14:paraId="7878F521" w14:textId="77777777" w:rsidR="00E8047C" w:rsidRDefault="00E8047C" w:rsidP="00E8047C">
      <w:pPr>
        <w:pStyle w:val="Heading1"/>
        <w:spacing w:after="144"/>
      </w:pPr>
      <w:r w:rsidRPr="001C6A23">
        <w:t>Supplies Needed</w:t>
      </w:r>
    </w:p>
    <w:p w14:paraId="5360FD28" w14:textId="38B822ED" w:rsidR="00E8047C" w:rsidRPr="00C36BFA" w:rsidRDefault="00E8047C" w:rsidP="00E8047C">
      <w:pPr>
        <w:pStyle w:val="ListParagraph"/>
        <w:numPr>
          <w:ilvl w:val="0"/>
          <w:numId w:val="2"/>
        </w:numPr>
        <w:spacing w:after="144"/>
      </w:pPr>
      <w:r>
        <w:t>Flipchart paper, markers</w:t>
      </w:r>
      <w:r w:rsidR="007E4484">
        <w:t xml:space="preserve">, </w:t>
      </w:r>
    </w:p>
    <w:p w14:paraId="4ADCBF46" w14:textId="77777777" w:rsidR="00E8047C" w:rsidRPr="001C6A23" w:rsidRDefault="00E8047C" w:rsidP="00E8047C">
      <w:pPr>
        <w:pStyle w:val="Heading1"/>
        <w:spacing w:after="144"/>
      </w:pPr>
      <w:r w:rsidRPr="001C6A23">
        <w:t>Planning</w:t>
      </w:r>
    </w:p>
    <w:p w14:paraId="11A2AECF" w14:textId="77777777" w:rsidR="00E8047C" w:rsidRPr="001C6A23" w:rsidRDefault="00E8047C" w:rsidP="00E8047C">
      <w:pPr>
        <w:pStyle w:val="NoteLevel21"/>
        <w:spacing w:after="144"/>
      </w:pPr>
      <w:r w:rsidRPr="001C6A23">
        <w:t xml:space="preserve">Activity 1. Trainers guide for the role play </w:t>
      </w:r>
    </w:p>
    <w:p w14:paraId="2918EE87" w14:textId="77777777" w:rsidR="00E8047C" w:rsidRPr="001C6A23" w:rsidRDefault="00E8047C" w:rsidP="00E8047C">
      <w:pPr>
        <w:pStyle w:val="NoteLevel21"/>
        <w:spacing w:after="144"/>
      </w:pPr>
      <w:r w:rsidRPr="001C6A23">
        <w:t>Activity 1. Prepare the post-it with a character per each participant</w:t>
      </w:r>
    </w:p>
    <w:p w14:paraId="2A9A65E8" w14:textId="77777777" w:rsidR="00E8047C" w:rsidRPr="00C36BFA" w:rsidRDefault="00E8047C" w:rsidP="00BA252F">
      <w:pPr>
        <w:pStyle w:val="NoteLevel21"/>
        <w:numPr>
          <w:ilvl w:val="0"/>
          <w:numId w:val="0"/>
        </w:numPr>
        <w:spacing w:after="144"/>
        <w:rPr>
          <w:b/>
        </w:rPr>
      </w:pPr>
    </w:p>
    <w:p w14:paraId="00444828" w14:textId="4D64C288" w:rsidR="00E8047C" w:rsidRDefault="00BA252F" w:rsidP="00E8047C">
      <w:pPr>
        <w:pStyle w:val="Heading2"/>
        <w:spacing w:after="144"/>
        <w:jc w:val="left"/>
      </w:pPr>
      <w:r>
        <w:t>Activity  1</w:t>
      </w:r>
      <w:r w:rsidR="007E4484">
        <w:t xml:space="preserve"> – Community fire prevention and fire safety plans               75’</w:t>
      </w:r>
    </w:p>
    <w:p w14:paraId="7A691D5A" w14:textId="5AE04D7D" w:rsidR="007E4484" w:rsidRDefault="007E4484" w:rsidP="007E4484">
      <w:pPr>
        <w:spacing w:after="144"/>
      </w:pPr>
      <w:r>
        <w:t xml:space="preserve">For this activity, break participants into five groups.  Make sure that all groups have access to flipchart paper, markers and post it notes.  Have each group </w:t>
      </w:r>
      <w:r w:rsidR="009002C4">
        <w:t>draw their settlement including shelters, services, boundaries, infrastructure and vacant areas.  Once each group has created their community map, ask participants to do the following:</w:t>
      </w:r>
    </w:p>
    <w:p w14:paraId="6A09A1BA" w14:textId="2CF1A937" w:rsidR="009002C4" w:rsidRDefault="009002C4" w:rsidP="007E4484">
      <w:pPr>
        <w:spacing w:after="144"/>
      </w:pPr>
      <w:r>
        <w:tab/>
        <w:t>-1. Place a red post it in areas of the site that you think are at severe risk for fire?</w:t>
      </w:r>
    </w:p>
    <w:p w14:paraId="2DB7ECE3" w14:textId="48CF9661" w:rsidR="009002C4" w:rsidRDefault="009002C4" w:rsidP="009002C4">
      <w:pPr>
        <w:spacing w:after="144"/>
        <w:ind w:left="720"/>
      </w:pPr>
      <w:r>
        <w:t xml:space="preserve">-2. Place a green post it </w:t>
      </w:r>
      <w:proofErr w:type="gramStart"/>
      <w:r>
        <w:t>note</w:t>
      </w:r>
      <w:proofErr w:type="gramEnd"/>
      <w:r>
        <w:t xml:space="preserve"> on areas of the site that can serve as mustering points</w:t>
      </w:r>
      <w:r w:rsidR="00FD4161">
        <w:t xml:space="preserve"> (designated places where people can evacuate to)</w:t>
      </w:r>
      <w:r>
        <w:t xml:space="preserve"> or evacuation points in times of an emergency?</w:t>
      </w:r>
    </w:p>
    <w:p w14:paraId="117382D9" w14:textId="2B839B39" w:rsidR="009002C4" w:rsidRDefault="009002C4" w:rsidP="009002C4">
      <w:pPr>
        <w:spacing w:after="144"/>
      </w:pPr>
      <w:r>
        <w:lastRenderedPageBreak/>
        <w:t>Once complete, have each group present their community map and identified fire risk and evacuation points.</w:t>
      </w:r>
    </w:p>
    <w:p w14:paraId="176F7FB9" w14:textId="5769277F" w:rsidR="009002C4" w:rsidRDefault="009002C4" w:rsidP="009002C4">
      <w:pPr>
        <w:spacing w:after="144"/>
      </w:pPr>
      <w:r>
        <w:t>After the group has presented their community map, ask each group what would they do to make sure that vulnerable members of the community receive support in times of a fire disaster? Who will inform the community that a fire is occurring? How will the community respond to the fire and with what support?</w:t>
      </w:r>
    </w:p>
    <w:p w14:paraId="781D2852" w14:textId="5933F4B8" w:rsidR="009002C4" w:rsidRPr="007E4484" w:rsidRDefault="009002C4" w:rsidP="009002C4">
      <w:pPr>
        <w:spacing w:after="144"/>
      </w:pPr>
      <w:r>
        <w:t>As the activity wraps up, the CCCM partner has the opportunity to have CMC members nominate fire wardens for the site (TOR attached) or to have this responsibility be shared by CMC members.</w:t>
      </w:r>
    </w:p>
    <w:p w14:paraId="591FB8C2" w14:textId="198BA81D" w:rsidR="007E4484" w:rsidRPr="007C3D84" w:rsidRDefault="00BA252F" w:rsidP="007E4484">
      <w:pPr>
        <w:pStyle w:val="Heading2"/>
        <w:spacing w:after="144"/>
        <w:jc w:val="left"/>
      </w:pPr>
      <w:r>
        <w:t>Activity  2</w:t>
      </w:r>
      <w:r w:rsidR="007E4484">
        <w:t xml:space="preserve"> – Communicating fire safety and prevention knowledge to community members </w:t>
      </w:r>
      <w:r w:rsidR="007E4484">
        <w:tab/>
      </w:r>
      <w:r w:rsidR="007E4484">
        <w:tab/>
      </w:r>
      <w:r w:rsidR="007E4484">
        <w:tab/>
      </w:r>
      <w:r w:rsidR="007E4484">
        <w:tab/>
      </w:r>
      <w:r w:rsidR="007E4484">
        <w:tab/>
      </w:r>
      <w:r w:rsidR="007E4484">
        <w:tab/>
      </w:r>
      <w:r w:rsidR="007E4484">
        <w:tab/>
      </w:r>
      <w:r w:rsidR="007E4484">
        <w:tab/>
        <w:t>60’</w:t>
      </w:r>
    </w:p>
    <w:p w14:paraId="7206654D" w14:textId="55312330" w:rsidR="007E4484" w:rsidRPr="007C3D84" w:rsidRDefault="007E4484" w:rsidP="007E4484">
      <w:pPr>
        <w:pStyle w:val="Heading2"/>
        <w:spacing w:after="144"/>
        <w:jc w:val="left"/>
      </w:pPr>
    </w:p>
    <w:p w14:paraId="2B2C87D7" w14:textId="77777777" w:rsidR="00E8047C" w:rsidRPr="007C3D84" w:rsidRDefault="00E8047C" w:rsidP="00E8047C">
      <w:pPr>
        <w:pStyle w:val="NoteLevel21"/>
        <w:numPr>
          <w:ilvl w:val="0"/>
          <w:numId w:val="0"/>
        </w:numPr>
        <w:spacing w:after="144"/>
        <w:ind w:left="1080"/>
      </w:pPr>
    </w:p>
    <w:p w14:paraId="66641DFE" w14:textId="5631E83A" w:rsidR="00AD0ABF" w:rsidRDefault="007E4484">
      <w:pPr>
        <w:spacing w:after="144"/>
      </w:pPr>
      <w:r>
        <w:t>For this activity, CMC members with support from the CCCM partner will scatter through the site to relay some of the key messages about fire prevention and safety that participants learned from the course.  In groups of 3-5 (if possible, have CCCM partner staff in each group), agree on some of the key points that you think are essential for communities to know.  This can include aspects of the fire safety plan, who to contact in case of a fire and how all members of the community can prevent fire.</w:t>
      </w:r>
    </w:p>
    <w:p w14:paraId="3F630E8C" w14:textId="756910F4" w:rsidR="007E4484" w:rsidRDefault="007E4484">
      <w:pPr>
        <w:spacing w:after="144"/>
      </w:pPr>
      <w:r>
        <w:t>Based on the CCCM partners recommendation, groups can be gender segregated to allow for active conversations between men/women within the site.  Please ensure that groups are reaching shelters that have people with special needs (</w:t>
      </w:r>
      <w:proofErr w:type="spellStart"/>
      <w:r>
        <w:t>PwSNs</w:t>
      </w:r>
      <w:proofErr w:type="spellEnd"/>
      <w:r>
        <w:t>) living within the household.</w:t>
      </w:r>
    </w:p>
    <w:p w14:paraId="5ABC5E5E" w14:textId="077D3490" w:rsidR="007E4484" w:rsidRPr="007E4484" w:rsidRDefault="007E4484">
      <w:pPr>
        <w:spacing w:after="144"/>
      </w:pPr>
      <w:r>
        <w:t>This should be a fun interactive activity so encourage laughter and smiles while driving through some of the key outcomes/findings of the training.</w:t>
      </w:r>
    </w:p>
    <w:sectPr w:rsidR="007E4484" w:rsidRPr="007E4484" w:rsidSect="00E8047C">
      <w:headerReference w:type="even" r:id="rId8"/>
      <w:headerReference w:type="default" r:id="rId9"/>
      <w:footerReference w:type="even" r:id="rId10"/>
      <w:footerReference w:type="default" r:id="rId11"/>
      <w:headerReference w:type="first" r:id="rId12"/>
      <w:footerReference w:type="first" r:id="rId13"/>
      <w:pgSz w:w="11900" w:h="16840" w:code="9"/>
      <w:pgMar w:top="1702" w:right="1440" w:bottom="1440" w:left="1440" w:header="709" w:footer="709" w:gutter="0"/>
      <w:cols w:space="708"/>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AEFC9" w14:textId="77777777" w:rsidR="00537A19" w:rsidRDefault="00537A19" w:rsidP="007E4484">
      <w:pPr>
        <w:spacing w:before="0" w:after="144" w:line="240" w:lineRule="auto"/>
      </w:pPr>
      <w:r>
        <w:separator/>
      </w:r>
    </w:p>
  </w:endnote>
  <w:endnote w:type="continuationSeparator" w:id="0">
    <w:p w14:paraId="21C83C1C" w14:textId="77777777" w:rsidR="00537A19" w:rsidRDefault="00537A19" w:rsidP="007E4484">
      <w:pPr>
        <w:spacing w:before="0" w:after="144"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Segoe UI">
    <w:altName w:val="Calibr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1957B" w14:textId="77777777" w:rsidR="00C33063" w:rsidRPr="001A73E7" w:rsidRDefault="00D730E9" w:rsidP="00D22214">
    <w:pPr>
      <w:spacing w:after="144"/>
    </w:pPr>
    <w:r>
      <w:tab/>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DEC1" w14:textId="6CEAE54B" w:rsidR="00C33063" w:rsidRPr="00E851B6" w:rsidRDefault="007E4484" w:rsidP="00D22214">
    <w:pPr>
      <w:spacing w:after="144"/>
      <w:rPr>
        <w:rStyle w:val="Footer-CCCM"/>
      </w:rPr>
    </w:pPr>
    <w:r>
      <w:rPr>
        <w:rStyle w:val="Footer-CCCM"/>
        <w:i/>
      </w:rPr>
      <w:t>Fire Prevention #4</w:t>
    </w:r>
    <w:r w:rsidR="00D730E9">
      <w:rPr>
        <w:rStyle w:val="Footer-CCCM"/>
        <w:i/>
      </w:rPr>
      <w:t xml:space="preserve"> CMC Training Guide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75264" w14:textId="2701332E" w:rsidR="00C33063" w:rsidRPr="00E851B6" w:rsidRDefault="003B375A" w:rsidP="00D22214">
    <w:pPr>
      <w:spacing w:after="144"/>
      <w:rPr>
        <w:rStyle w:val="Footer-CCCM"/>
      </w:rPr>
    </w:pPr>
    <w:r>
      <w:rPr>
        <w:rStyle w:val="Footer-CCCM"/>
        <w:i/>
      </w:rPr>
      <w:t>#4 Fire Safety and Prevention – CMC Training Package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035AE" w14:textId="77777777" w:rsidR="00537A19" w:rsidRDefault="00537A19" w:rsidP="007E4484">
      <w:pPr>
        <w:spacing w:before="0" w:after="144" w:line="240" w:lineRule="auto"/>
      </w:pPr>
      <w:r>
        <w:separator/>
      </w:r>
    </w:p>
  </w:footnote>
  <w:footnote w:type="continuationSeparator" w:id="0">
    <w:p w14:paraId="67C43936" w14:textId="77777777" w:rsidR="00537A19" w:rsidRDefault="00537A19" w:rsidP="007E4484">
      <w:pPr>
        <w:spacing w:before="0" w:after="144"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F1BBC" w14:textId="77777777" w:rsidR="00C33063" w:rsidRDefault="00537A19" w:rsidP="00F92BC1">
    <w:pPr>
      <w:pStyle w:val="Header"/>
      <w:spacing w:after="14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42B1C" w14:textId="77777777" w:rsidR="00C33063" w:rsidRDefault="00537A19" w:rsidP="00F92BC1">
    <w:pPr>
      <w:pStyle w:val="Header"/>
      <w:spacing w:after="144"/>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AFCCD" w14:textId="2FBDD5E9" w:rsidR="00C33063" w:rsidRPr="006879BA" w:rsidRDefault="00D730E9" w:rsidP="006879BA">
    <w:pPr>
      <w:pStyle w:val="Heading5"/>
      <w:rPr>
        <w:rStyle w:val="IntenseEmphasis"/>
        <w:b/>
      </w:rPr>
    </w:pPr>
    <w:r w:rsidRPr="007C3D84">
      <w:rPr>
        <w:noProof/>
        <w:lang w:val="en-US"/>
      </w:rPr>
      <w:t xml:space="preserve"> </w:t>
    </w:r>
    <w:r w:rsidRPr="00894277">
      <w:t xml:space="preserve"> </w:t>
    </w:r>
    <w:r w:rsidR="0038692F">
      <w:t>Fire safety and prevention #4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F589FC6"/>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F57C33"/>
    <w:multiLevelType w:val="hybridMultilevel"/>
    <w:tmpl w:val="CC14A2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30383D"/>
    <w:multiLevelType w:val="hybridMultilevel"/>
    <w:tmpl w:val="99B0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7C"/>
    <w:rsid w:val="00051CBC"/>
    <w:rsid w:val="00082FDE"/>
    <w:rsid w:val="001E52CA"/>
    <w:rsid w:val="0038692F"/>
    <w:rsid w:val="003B375A"/>
    <w:rsid w:val="00495B89"/>
    <w:rsid w:val="004E647F"/>
    <w:rsid w:val="0050720B"/>
    <w:rsid w:val="00537A19"/>
    <w:rsid w:val="005512BB"/>
    <w:rsid w:val="005B2AB3"/>
    <w:rsid w:val="007E4484"/>
    <w:rsid w:val="008C1958"/>
    <w:rsid w:val="008F4C58"/>
    <w:rsid w:val="009002C4"/>
    <w:rsid w:val="00944021"/>
    <w:rsid w:val="00B369D5"/>
    <w:rsid w:val="00B67E2C"/>
    <w:rsid w:val="00BA252F"/>
    <w:rsid w:val="00CD56E8"/>
    <w:rsid w:val="00D27294"/>
    <w:rsid w:val="00D730E9"/>
    <w:rsid w:val="00E8047C"/>
    <w:rsid w:val="00EE022A"/>
    <w:rsid w:val="00F51E01"/>
    <w:rsid w:val="00FD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31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3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CCM"/>
    <w:qFormat/>
    <w:rsid w:val="00E8047C"/>
    <w:pPr>
      <w:spacing w:before="60" w:afterLines="60" w:line="276" w:lineRule="auto"/>
      <w:jc w:val="both"/>
    </w:pPr>
    <w:rPr>
      <w:rFonts w:ascii="Corbel" w:eastAsia="Times New Roman" w:hAnsi="Corbel" w:cs="Times New Roman"/>
      <w:sz w:val="22"/>
      <w:szCs w:val="22"/>
      <w:lang w:val="en-GB"/>
    </w:rPr>
  </w:style>
  <w:style w:type="paragraph" w:styleId="Heading1">
    <w:name w:val="heading 1"/>
    <w:aliases w:val="Heading 1-CCCM"/>
    <w:basedOn w:val="Normal"/>
    <w:next w:val="Normal"/>
    <w:link w:val="Heading1Char"/>
    <w:uiPriority w:val="99"/>
    <w:qFormat/>
    <w:rsid w:val="00E8047C"/>
    <w:pPr>
      <w:spacing w:before="300" w:after="40"/>
      <w:jc w:val="left"/>
      <w:outlineLvl w:val="0"/>
    </w:pPr>
    <w:rPr>
      <w:smallCaps/>
      <w:spacing w:val="5"/>
      <w:sz w:val="32"/>
      <w:szCs w:val="32"/>
    </w:rPr>
  </w:style>
  <w:style w:type="paragraph" w:styleId="Heading2">
    <w:name w:val="heading 2"/>
    <w:aliases w:val="Heading 2-CCCM"/>
    <w:basedOn w:val="Normal"/>
    <w:next w:val="Normal"/>
    <w:link w:val="Heading2Char"/>
    <w:uiPriority w:val="99"/>
    <w:qFormat/>
    <w:rsid w:val="00E8047C"/>
    <w:pPr>
      <w:pBdr>
        <w:top w:val="single" w:sz="8" w:space="1" w:color="4F81BD"/>
        <w:bottom w:val="single" w:sz="8" w:space="1" w:color="4F81BD"/>
      </w:pBdr>
      <w:spacing w:before="280"/>
      <w:outlineLvl w:val="1"/>
    </w:pPr>
    <w:rPr>
      <w:smallCaps/>
      <w:spacing w:val="5"/>
      <w:sz w:val="28"/>
      <w:szCs w:val="28"/>
    </w:rPr>
  </w:style>
  <w:style w:type="paragraph" w:styleId="Heading5">
    <w:name w:val="heading 5"/>
    <w:aliases w:val="Title-CCCM"/>
    <w:basedOn w:val="Heading1"/>
    <w:next w:val="Normal"/>
    <w:link w:val="Heading5Char"/>
    <w:uiPriority w:val="99"/>
    <w:qFormat/>
    <w:rsid w:val="00E8047C"/>
    <w:pPr>
      <w:spacing w:before="0" w:after="144"/>
      <w:outlineLvl w:val="4"/>
    </w:pPr>
    <w:rPr>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CCCM Char"/>
    <w:basedOn w:val="DefaultParagraphFont"/>
    <w:link w:val="Heading1"/>
    <w:uiPriority w:val="99"/>
    <w:rsid w:val="00E8047C"/>
    <w:rPr>
      <w:rFonts w:ascii="Corbel" w:eastAsia="Times New Roman" w:hAnsi="Corbel" w:cs="Times New Roman"/>
      <w:smallCaps/>
      <w:spacing w:val="5"/>
      <w:sz w:val="32"/>
      <w:szCs w:val="32"/>
      <w:lang w:val="en-GB"/>
    </w:rPr>
  </w:style>
  <w:style w:type="character" w:customStyle="1" w:styleId="Heading2Char">
    <w:name w:val="Heading 2 Char"/>
    <w:aliases w:val="Heading 2-CCCM Char"/>
    <w:basedOn w:val="DefaultParagraphFont"/>
    <w:link w:val="Heading2"/>
    <w:uiPriority w:val="99"/>
    <w:rsid w:val="00E8047C"/>
    <w:rPr>
      <w:rFonts w:ascii="Corbel" w:eastAsia="Times New Roman" w:hAnsi="Corbel" w:cs="Times New Roman"/>
      <w:smallCaps/>
      <w:spacing w:val="5"/>
      <w:sz w:val="28"/>
      <w:szCs w:val="28"/>
      <w:lang w:val="en-GB"/>
    </w:rPr>
  </w:style>
  <w:style w:type="character" w:customStyle="1" w:styleId="Heading5Char">
    <w:name w:val="Heading 5 Char"/>
    <w:aliases w:val="Title-CCCM Char"/>
    <w:basedOn w:val="DefaultParagraphFont"/>
    <w:link w:val="Heading5"/>
    <w:uiPriority w:val="99"/>
    <w:rsid w:val="00E8047C"/>
    <w:rPr>
      <w:rFonts w:ascii="Corbel" w:eastAsia="Times New Roman" w:hAnsi="Corbel" w:cs="Times New Roman"/>
      <w:smallCaps/>
      <w:spacing w:val="5"/>
      <w:sz w:val="48"/>
      <w:szCs w:val="48"/>
      <w:lang w:val="en-GB"/>
    </w:rPr>
  </w:style>
  <w:style w:type="paragraph" w:styleId="Header">
    <w:name w:val="header"/>
    <w:basedOn w:val="Normal"/>
    <w:link w:val="HeaderChar1"/>
    <w:uiPriority w:val="99"/>
    <w:rsid w:val="00E8047C"/>
    <w:pPr>
      <w:tabs>
        <w:tab w:val="center" w:pos="4320"/>
        <w:tab w:val="right" w:pos="8640"/>
      </w:tabs>
    </w:pPr>
    <w:rPr>
      <w:rFonts w:ascii="Arial" w:hAnsi="Arial"/>
      <w:sz w:val="24"/>
      <w:szCs w:val="24"/>
    </w:rPr>
  </w:style>
  <w:style w:type="character" w:customStyle="1" w:styleId="HeaderChar">
    <w:name w:val="Header Char"/>
    <w:basedOn w:val="DefaultParagraphFont"/>
    <w:uiPriority w:val="99"/>
    <w:semiHidden/>
    <w:rsid w:val="00E8047C"/>
    <w:rPr>
      <w:rFonts w:ascii="Corbel" w:eastAsia="Times New Roman" w:hAnsi="Corbel" w:cs="Times New Roman"/>
      <w:sz w:val="22"/>
      <w:szCs w:val="22"/>
      <w:lang w:val="en-GB"/>
    </w:rPr>
  </w:style>
  <w:style w:type="character" w:customStyle="1" w:styleId="HeaderChar1">
    <w:name w:val="Header Char1"/>
    <w:link w:val="Header"/>
    <w:uiPriority w:val="99"/>
    <w:locked/>
    <w:rsid w:val="00E8047C"/>
    <w:rPr>
      <w:rFonts w:ascii="Arial" w:eastAsia="Times New Roman" w:hAnsi="Arial" w:cs="Times New Roman"/>
      <w:lang w:val="en-GB"/>
    </w:rPr>
  </w:style>
  <w:style w:type="character" w:customStyle="1" w:styleId="Footer-CCCM">
    <w:name w:val="Footer-CCCM"/>
    <w:uiPriority w:val="99"/>
    <w:qFormat/>
    <w:rsid w:val="00E8047C"/>
    <w:rPr>
      <w:sz w:val="20"/>
      <w:szCs w:val="20"/>
    </w:rPr>
  </w:style>
  <w:style w:type="table" w:styleId="LightShading-Accent1">
    <w:name w:val="Light Shading Accent 1"/>
    <w:basedOn w:val="TableNormal"/>
    <w:uiPriority w:val="30"/>
    <w:qFormat/>
    <w:rsid w:val="00E8047C"/>
    <w:rPr>
      <w:rFonts w:ascii="Calibri" w:eastAsia="Times New Roman" w:hAnsi="Calibri" w:cs="Helvetic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teLevel21">
    <w:name w:val="Note Level 21"/>
    <w:aliases w:val="Bullet-CCCM"/>
    <w:basedOn w:val="Normal"/>
    <w:uiPriority w:val="1"/>
    <w:qFormat/>
    <w:rsid w:val="00E8047C"/>
    <w:pPr>
      <w:numPr>
        <w:ilvl w:val="1"/>
        <w:numId w:val="1"/>
      </w:numPr>
      <w:contextualSpacing/>
      <w:outlineLvl w:val="1"/>
    </w:pPr>
  </w:style>
  <w:style w:type="paragraph" w:customStyle="1" w:styleId="NoteLevel31">
    <w:name w:val="Note Level 31"/>
    <w:basedOn w:val="Normal"/>
    <w:uiPriority w:val="60"/>
    <w:rsid w:val="00E8047C"/>
    <w:pPr>
      <w:widowControl w:val="0"/>
      <w:numPr>
        <w:ilvl w:val="2"/>
        <w:numId w:val="1"/>
      </w:numPr>
      <w:spacing w:after="60"/>
      <w:contextualSpacing/>
      <w:outlineLvl w:val="2"/>
    </w:pPr>
  </w:style>
  <w:style w:type="character" w:styleId="IntenseEmphasis">
    <w:name w:val="Intense Emphasis"/>
    <w:aliases w:val="Table text-CCCM"/>
    <w:uiPriority w:val="21"/>
    <w:qFormat/>
    <w:rsid w:val="00E8047C"/>
  </w:style>
  <w:style w:type="paragraph" w:styleId="ListParagraph">
    <w:name w:val="List Paragraph"/>
    <w:basedOn w:val="Normal"/>
    <w:uiPriority w:val="34"/>
    <w:qFormat/>
    <w:rsid w:val="00E8047C"/>
    <w:pPr>
      <w:ind w:left="720"/>
      <w:contextualSpacing/>
    </w:pPr>
  </w:style>
  <w:style w:type="paragraph" w:customStyle="1" w:styleId="p1">
    <w:name w:val="p1"/>
    <w:basedOn w:val="Normal"/>
    <w:rsid w:val="00CD56E8"/>
    <w:pPr>
      <w:spacing w:before="0" w:afterLines="0" w:line="240" w:lineRule="auto"/>
      <w:jc w:val="left"/>
    </w:pPr>
    <w:rPr>
      <w:rFonts w:ascii="Calibri" w:eastAsiaTheme="minorHAnsi" w:hAnsi="Calibri"/>
      <w:sz w:val="18"/>
      <w:szCs w:val="18"/>
      <w:lang w:val="en-US"/>
    </w:rPr>
  </w:style>
  <w:style w:type="paragraph" w:customStyle="1" w:styleId="p2">
    <w:name w:val="p2"/>
    <w:basedOn w:val="Normal"/>
    <w:rsid w:val="00CD56E8"/>
    <w:pPr>
      <w:spacing w:before="0" w:afterLines="0" w:line="240" w:lineRule="auto"/>
      <w:jc w:val="left"/>
    </w:pPr>
    <w:rPr>
      <w:rFonts w:ascii="Calibri" w:eastAsiaTheme="minorHAnsi" w:hAnsi="Calibri"/>
      <w:sz w:val="17"/>
      <w:szCs w:val="17"/>
      <w:lang w:val="en-US"/>
    </w:rPr>
  </w:style>
  <w:style w:type="paragraph" w:customStyle="1" w:styleId="p3">
    <w:name w:val="p3"/>
    <w:basedOn w:val="Normal"/>
    <w:rsid w:val="00CD56E8"/>
    <w:pPr>
      <w:spacing w:before="0" w:afterLines="0" w:line="240" w:lineRule="auto"/>
      <w:jc w:val="left"/>
    </w:pPr>
    <w:rPr>
      <w:rFonts w:ascii="Calibri" w:eastAsiaTheme="minorHAnsi" w:hAnsi="Calibri"/>
      <w:sz w:val="17"/>
      <w:szCs w:val="17"/>
      <w:lang w:val="en-US"/>
    </w:rPr>
  </w:style>
  <w:style w:type="character" w:customStyle="1" w:styleId="apple-converted-space">
    <w:name w:val="apple-converted-space"/>
    <w:basedOn w:val="DefaultParagraphFont"/>
    <w:rsid w:val="00CD56E8"/>
  </w:style>
  <w:style w:type="character" w:styleId="CommentReference">
    <w:name w:val="annotation reference"/>
    <w:basedOn w:val="DefaultParagraphFont"/>
    <w:uiPriority w:val="99"/>
    <w:semiHidden/>
    <w:unhideWhenUsed/>
    <w:rsid w:val="0050720B"/>
    <w:rPr>
      <w:sz w:val="16"/>
      <w:szCs w:val="16"/>
    </w:rPr>
  </w:style>
  <w:style w:type="paragraph" w:styleId="CommentText">
    <w:name w:val="annotation text"/>
    <w:basedOn w:val="Normal"/>
    <w:link w:val="CommentTextChar"/>
    <w:uiPriority w:val="99"/>
    <w:semiHidden/>
    <w:unhideWhenUsed/>
    <w:rsid w:val="0050720B"/>
    <w:pPr>
      <w:spacing w:line="240" w:lineRule="auto"/>
    </w:pPr>
    <w:rPr>
      <w:sz w:val="20"/>
      <w:szCs w:val="20"/>
    </w:rPr>
  </w:style>
  <w:style w:type="character" w:customStyle="1" w:styleId="CommentTextChar">
    <w:name w:val="Comment Text Char"/>
    <w:basedOn w:val="DefaultParagraphFont"/>
    <w:link w:val="CommentText"/>
    <w:uiPriority w:val="99"/>
    <w:semiHidden/>
    <w:rsid w:val="0050720B"/>
    <w:rPr>
      <w:rFonts w:ascii="Corbel" w:eastAsia="Times New Roman" w:hAnsi="Corbe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0720B"/>
    <w:rPr>
      <w:b/>
      <w:bCs/>
    </w:rPr>
  </w:style>
  <w:style w:type="character" w:customStyle="1" w:styleId="CommentSubjectChar">
    <w:name w:val="Comment Subject Char"/>
    <w:basedOn w:val="CommentTextChar"/>
    <w:link w:val="CommentSubject"/>
    <w:uiPriority w:val="99"/>
    <w:semiHidden/>
    <w:rsid w:val="0050720B"/>
    <w:rPr>
      <w:rFonts w:ascii="Corbel" w:eastAsia="Times New Roman" w:hAnsi="Corbel" w:cs="Times New Roman"/>
      <w:b/>
      <w:bCs/>
      <w:sz w:val="20"/>
      <w:szCs w:val="20"/>
      <w:lang w:val="en-GB"/>
    </w:rPr>
  </w:style>
  <w:style w:type="paragraph" w:styleId="BalloonText">
    <w:name w:val="Balloon Text"/>
    <w:basedOn w:val="Normal"/>
    <w:link w:val="BalloonTextChar"/>
    <w:uiPriority w:val="99"/>
    <w:semiHidden/>
    <w:unhideWhenUsed/>
    <w:rsid w:val="0050720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20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84240">
      <w:bodyDiv w:val="1"/>
      <w:marLeft w:val="0"/>
      <w:marRight w:val="0"/>
      <w:marTop w:val="0"/>
      <w:marBottom w:val="0"/>
      <w:divBdr>
        <w:top w:val="none" w:sz="0" w:space="0" w:color="auto"/>
        <w:left w:val="none" w:sz="0" w:space="0" w:color="auto"/>
        <w:bottom w:val="none" w:sz="0" w:space="0" w:color="auto"/>
        <w:right w:val="none" w:sz="0" w:space="0" w:color="auto"/>
      </w:divBdr>
    </w:div>
    <w:div w:id="1635132776">
      <w:bodyDiv w:val="1"/>
      <w:marLeft w:val="0"/>
      <w:marRight w:val="0"/>
      <w:marTop w:val="0"/>
      <w:marBottom w:val="0"/>
      <w:divBdr>
        <w:top w:val="none" w:sz="0" w:space="0" w:color="auto"/>
        <w:left w:val="none" w:sz="0" w:space="0" w:color="auto"/>
        <w:bottom w:val="none" w:sz="0" w:space="0" w:color="auto"/>
        <w:right w:val="none" w:sz="0" w:space="0" w:color="auto"/>
      </w:divBdr>
    </w:div>
    <w:div w:id="2045592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eader" Target="header3.xml"/><Relationship Id="rId7"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1.xml"/><Relationship Id="rId1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A3BE2ADE5C443A2D47DD571080A2E" ma:contentTypeVersion="16" ma:contentTypeDescription="Create a new document." ma:contentTypeScope="" ma:versionID="9b293a65fd41a221855a5b395818d7e9">
  <xsd:schema xmlns:xsd="http://www.w3.org/2001/XMLSchema" xmlns:xs="http://www.w3.org/2001/XMLSchema" xmlns:p="http://schemas.microsoft.com/office/2006/metadata/properties" xmlns:ns2="fece29ea-d8c1-4872-9a37-f1a3a9484082" xmlns:ns3="63e0d7cd-59d0-4300-9182-4f5ac259ff1c" targetNamespace="http://schemas.microsoft.com/office/2006/metadata/properties" ma:root="true" ma:fieldsID="55b4db53a69207c1ee4cca046c37ae10" ns2:_="" ns3:_="">
    <xsd:import namespace="fece29ea-d8c1-4872-9a37-f1a3a9484082"/>
    <xsd:import namespace="63e0d7cd-59d0-4300-9182-4f5ac259f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29ea-d8c1-4872-9a37-f1a3a94840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8cb3f-0c80-45ab-ba8a-748104c9e3e1}" ma:internalName="TaxCatchAll" ma:showField="CatchAllData" ma:web="fece29ea-d8c1-4872-9a37-f1a3a94840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e0d7cd-59d0-4300-9182-4f5ac259f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e29ea-d8c1-4872-9a37-f1a3a9484082" xsi:nil="true"/>
    <lcf76f155ced4ddcb4097134ff3c332f xmlns="63e0d7cd-59d0-4300-9182-4f5ac259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D5404F-9458-4CFA-91E7-167C1367F595}"/>
</file>

<file path=customXml/itemProps2.xml><?xml version="1.0" encoding="utf-8"?>
<ds:datastoreItem xmlns:ds="http://schemas.openxmlformats.org/officeDocument/2006/customXml" ds:itemID="{AE79EB91-F94C-42ED-A3D1-B654AE463858}"/>
</file>

<file path=customXml/itemProps3.xml><?xml version="1.0" encoding="utf-8"?>
<ds:datastoreItem xmlns:ds="http://schemas.openxmlformats.org/officeDocument/2006/customXml" ds:itemID="{9FC9E446-F18A-4969-BC27-B94BA50DBEAF}"/>
</file>

<file path=docProps/app.xml><?xml version="1.0" encoding="utf-8"?>
<Properties xmlns="http://schemas.openxmlformats.org/officeDocument/2006/extended-properties" xmlns:vt="http://schemas.openxmlformats.org/officeDocument/2006/docPropsVTypes">
  <Template>Normal.dotm</Template>
  <TotalTime>3</TotalTime>
  <Pages>3</Pages>
  <Words>813</Words>
  <Characters>4635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Conner</dc:creator>
  <cp:keywords/>
  <dc:description/>
  <cp:lastModifiedBy>Benjamin Conner</cp:lastModifiedBy>
  <cp:revision>2</cp:revision>
  <dcterms:created xsi:type="dcterms:W3CDTF">2020-04-27T13:15:00Z</dcterms:created>
  <dcterms:modified xsi:type="dcterms:W3CDTF">2020-04-27T13:15:00Z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0x0101005EFA3BE2ADE5C443A2D47DD571080A2E</vt:lpwstr>
  </property>
</Properties>
</file>