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360" w:before="0" w:after="0"/>
        <w:ind w:left="0" w:right="850" w:hanging="0"/>
        <w:jc w:val="center"/>
        <w:rPr>
          <w:rFonts w:ascii="Times New Roman" w:hAnsi="Times New Roman" w:cs="Times New Roman"/>
          <w:b/>
          <w:b/>
          <w:bCs/>
          <w:color w:val="000000" w:themeColor="text1"/>
          <w:sz w:val="28"/>
          <w:szCs w:val="28"/>
          <w:u w:val="single"/>
        </w:rPr>
      </w:pPr>
      <w:r>
        <w:rPr>
          <w:rFonts w:cs="Times New Roman" w:ascii="Times New Roman" w:hAnsi="Times New Roman"/>
          <w:b/>
          <w:bCs/>
          <w:color w:val="000000" w:themeColor="text1"/>
          <w:sz w:val="32"/>
          <w:szCs w:val="32"/>
          <w:u w:val="none"/>
          <w:lang w:val="uk-UA"/>
        </w:rPr>
        <w:t xml:space="preserve">Кластер </w:t>
      </w:r>
      <w:r>
        <w:rPr>
          <w:rFonts w:eastAsia="Calibri" w:cs="Times New Roman" w:ascii="Times New Roman" w:hAnsi="Times New Roman"/>
          <w:b/>
          <w:bCs/>
          <w:color w:val="000000" w:themeColor="text1"/>
          <w:kern w:val="0"/>
          <w:sz w:val="32"/>
          <w:szCs w:val="32"/>
          <w:u w:val="none"/>
          <w:lang w:val="en-US" w:eastAsia="en-US" w:bidi="ar-SA"/>
        </w:rPr>
        <w:t>“</w:t>
      </w:r>
      <w:r>
        <w:rPr>
          <w:rFonts w:eastAsia="Calibri" w:cs="Times New Roman" w:ascii="Times New Roman" w:hAnsi="Times New Roman"/>
          <w:b/>
          <w:bCs/>
          <w:color w:val="000000" w:themeColor="text1"/>
          <w:kern w:val="0"/>
          <w:sz w:val="32"/>
          <w:szCs w:val="32"/>
          <w:u w:val="none"/>
          <w:lang w:val="uk-UA" w:eastAsia="en-US" w:bidi="ar-SA"/>
        </w:rPr>
        <w:t>У</w:t>
      </w:r>
      <w:r>
        <w:rPr>
          <w:rFonts w:cs="Times New Roman" w:ascii="Times New Roman" w:hAnsi="Times New Roman"/>
          <w:b/>
          <w:bCs/>
          <w:color w:val="000000" w:themeColor="text1"/>
          <w:sz w:val="32"/>
          <w:szCs w:val="32"/>
          <w:u w:val="none"/>
          <w:lang w:val="uk-UA"/>
        </w:rPr>
        <w:t xml:space="preserve">правління таборами \ </w:t>
      </w:r>
      <w:r>
        <w:rPr>
          <w:rFonts w:eastAsia="Calibri" w:cs="Times New Roman" w:ascii="Times New Roman" w:hAnsi="Times New Roman"/>
          <w:b/>
          <w:bCs/>
          <w:color w:val="000000" w:themeColor="text1"/>
          <w:kern w:val="0"/>
          <w:sz w:val="32"/>
          <w:szCs w:val="32"/>
          <w:u w:val="none"/>
          <w:lang w:val="uk-UA" w:eastAsia="en-US" w:bidi="ar-SA"/>
        </w:rPr>
        <w:t>К</w:t>
      </w:r>
      <w:r>
        <w:rPr>
          <w:rFonts w:cs="Times New Roman" w:ascii="Times New Roman" w:hAnsi="Times New Roman"/>
          <w:b/>
          <w:bCs/>
          <w:color w:val="000000" w:themeColor="text1"/>
          <w:sz w:val="32"/>
          <w:szCs w:val="32"/>
          <w:u w:val="none"/>
          <w:lang w:val="uk-UA"/>
        </w:rPr>
        <w:t>оординація таборів” (</w:t>
      </w:r>
      <w:r>
        <w:rPr>
          <w:rFonts w:eastAsia="Calibri" w:cs="Times New Roman" w:ascii="Times New Roman" w:hAnsi="Times New Roman"/>
          <w:b/>
          <w:bCs/>
          <w:color w:val="000000" w:themeColor="text1"/>
          <w:kern w:val="0"/>
          <w:sz w:val="32"/>
          <w:szCs w:val="32"/>
          <w:u w:val="none"/>
          <w:lang w:val="en-US" w:eastAsia="en-US" w:bidi="ar-SA"/>
        </w:rPr>
        <w:t>CCCM</w:t>
      </w:r>
      <w:r>
        <w:rPr>
          <w:rFonts w:cs="Times New Roman" w:ascii="Times New Roman" w:hAnsi="Times New Roman"/>
          <w:b/>
          <w:bCs/>
          <w:color w:val="000000" w:themeColor="text1"/>
          <w:sz w:val="32"/>
          <w:szCs w:val="32"/>
          <w:u w:val="none"/>
          <w:lang w:val="uk-UA"/>
        </w:rPr>
        <w:t xml:space="preserve">) — Стратегічні положення </w:t>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bCs/>
          <w:color w:val="000000" w:themeColor="text1"/>
          <w:sz w:val="24"/>
          <w:szCs w:val="24"/>
          <w:u w:val="single"/>
        </w:rPr>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bCs/>
          <w:color w:val="000000" w:themeColor="text1"/>
          <w:sz w:val="28"/>
          <w:szCs w:val="28"/>
          <w:u w:val="none"/>
          <w:lang w:val="uk-UA"/>
        </w:rPr>
        <w:t xml:space="preserve">Основна інформація та визначені потреби, станом на 17 березня. </w:t>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ab/>
        <w:t xml:space="preserve">З початком військового наступу РФ на Україну значна кількість людей була змушена покинути свої домівки. Здебільшого, це населення прилеглих до Російської Федерації регіонів, які тікали у центральні та західні області України. </w:t>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ab/>
        <w:t xml:space="preserve">Велика кількість внутрішньо переміщених осіб (ВПО) призвела до появи величезних їхніх громад як у приватних, так і державних будівлях, що використовуються у якості місць для транзиту або компактного проживання, наприклад: школи, дитячі садки, церкви, спорт-зали, університетські гуртожитки, будинки культури, концертні зали тощо. Більшість таких місць були недостатньо підготовлені для прийому такої кількості людей, які прибували спонтанно. Умови життя у них не відповідали визначеним стандартам. Відповідно до інформації, яку отримували гуманітарні організації та місцеві органи влади після 24 лютого, існує дефіцит гарячої їжі, засобів гігієни, душових кабін, туалету, місць для сну (подушки, ковдри), місць для догляду за маленькими дітьми та медичних центрів. У якості середньо- і довгострокових рішень українська влада розглядає створення місць компактного проживання для цих людей у приміщеннях, що наразі не використовуються, у яких можна зробити ремонт і які можна обладнати за підтримки гуманітарних організацій. Враховуючи масштаби внутрішнього переселення людей і його географічне охоплення, очікується, що окрім тисяч невеликих транзитних місць з’являться десятки величезних місць компактного проживання \ колективних центрів. Таких, які вже були створені у західних областях України (як на півдні, так і на півночі: Івано-Франківськ, Чернівці, Тернопіль, Закарпаття, Львів та Волинь). </w:t>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ab/>
        <w:t xml:space="preserve">Координація з партнерами, дані щодо громад внутрішньо переміщених осіб і їхнє уразливе становище потребує негайних дій від Кластеру </w:t>
      </w:r>
      <w:r>
        <w:rPr>
          <w:rFonts w:cs="Times New Roman" w:ascii="Times New Roman" w:hAnsi="Times New Roman"/>
          <w:b w:val="false"/>
          <w:bCs w:val="false"/>
          <w:color w:val="000000" w:themeColor="text1"/>
          <w:sz w:val="24"/>
          <w:szCs w:val="24"/>
          <w:u w:val="none"/>
          <w:lang w:val="en-US"/>
        </w:rPr>
        <w:t xml:space="preserve">CCCM. </w:t>
      </w:r>
      <w:r>
        <w:rPr>
          <w:rFonts w:cs="Times New Roman" w:ascii="Times New Roman" w:hAnsi="Times New Roman"/>
          <w:b w:val="false"/>
          <w:bCs w:val="false"/>
          <w:color w:val="000000" w:themeColor="text1"/>
          <w:sz w:val="24"/>
          <w:szCs w:val="24"/>
          <w:u w:val="none"/>
          <w:lang w:val="uk-UA"/>
        </w:rPr>
        <w:t xml:space="preserve">Зокрема, </w:t>
      </w:r>
      <w:r>
        <w:rPr>
          <w:rFonts w:eastAsia="Calibri" w:cs="Times New Roman" w:ascii="Times New Roman" w:hAnsi="Times New Roman"/>
          <w:b w:val="false"/>
          <w:bCs w:val="false"/>
          <w:color w:val="000000" w:themeColor="text1"/>
          <w:kern w:val="0"/>
          <w:sz w:val="24"/>
          <w:szCs w:val="24"/>
          <w:u w:val="none"/>
          <w:lang w:val="uk-UA" w:eastAsia="en-US" w:bidi="ar-SA"/>
        </w:rPr>
        <w:t>допомога</w:t>
      </w:r>
      <w:r>
        <w:rPr>
          <w:rFonts w:cs="Times New Roman" w:ascii="Times New Roman" w:hAnsi="Times New Roman"/>
          <w:b w:val="false"/>
          <w:bCs w:val="false"/>
          <w:color w:val="000000" w:themeColor="text1"/>
          <w:sz w:val="24"/>
          <w:szCs w:val="24"/>
          <w:u w:val="none"/>
          <w:lang w:val="uk-UA"/>
        </w:rPr>
        <w:t xml:space="preserve"> в управлінні центрами розміщення осіб у межах підтримки місцевих органів влади, які намагаються задовольнити запити агенцій ООН та неурядових організацій щодо покращення координації відносно захисту та підтримки ВПО. </w:t>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bCs/>
          <w:color w:val="000000" w:themeColor="text1"/>
          <w:sz w:val="24"/>
          <w:szCs w:val="24"/>
          <w:u w:val="single"/>
        </w:rPr>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bCs/>
          <w:color w:val="000000" w:themeColor="text1"/>
          <w:sz w:val="28"/>
          <w:szCs w:val="28"/>
          <w:u w:val="none"/>
          <w:lang w:val="uk-UA"/>
        </w:rPr>
        <w:t>Загальні цілі та завдання кластеру</w:t>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ab/>
        <w:t xml:space="preserve">Головна ціль кластеру </w:t>
      </w:r>
      <w:r>
        <w:rPr>
          <w:rFonts w:cs="Times New Roman" w:ascii="Times New Roman" w:hAnsi="Times New Roman"/>
          <w:b w:val="false"/>
          <w:bCs w:val="false"/>
          <w:color w:val="000000" w:themeColor="text1"/>
          <w:sz w:val="24"/>
          <w:szCs w:val="24"/>
          <w:u w:val="none"/>
          <w:lang w:val="en-US"/>
        </w:rPr>
        <w:t xml:space="preserve">CCCM  </w:t>
      </w:r>
      <w:r>
        <w:rPr>
          <w:rFonts w:cs="Times New Roman" w:ascii="Times New Roman" w:hAnsi="Times New Roman"/>
          <w:b w:val="false"/>
          <w:bCs w:val="false"/>
          <w:color w:val="000000" w:themeColor="text1"/>
          <w:sz w:val="24"/>
          <w:szCs w:val="24"/>
          <w:u w:val="none"/>
          <w:lang w:val="uk-UA"/>
        </w:rPr>
        <w:t xml:space="preserve">в Україні полягає у </w:t>
      </w:r>
      <w:r>
        <w:rPr>
          <w:rFonts w:cs="Times New Roman" w:ascii="Times New Roman" w:hAnsi="Times New Roman"/>
          <w:b/>
          <w:bCs/>
          <w:color w:val="000000" w:themeColor="text1"/>
          <w:sz w:val="24"/>
          <w:szCs w:val="24"/>
          <w:u w:val="none"/>
          <w:lang w:val="uk-UA"/>
        </w:rPr>
        <w:t xml:space="preserve">забезпеченні </w:t>
      </w:r>
      <w:r>
        <w:rPr>
          <w:rFonts w:eastAsia="Calibri" w:cs="Times New Roman" w:ascii="Times New Roman" w:hAnsi="Times New Roman"/>
          <w:b/>
          <w:bCs/>
          <w:color w:val="000000" w:themeColor="text1"/>
          <w:kern w:val="0"/>
          <w:sz w:val="24"/>
          <w:szCs w:val="24"/>
          <w:u w:val="none"/>
          <w:lang w:val="uk-UA" w:eastAsia="en-US" w:bidi="ar-SA"/>
        </w:rPr>
        <w:t xml:space="preserve">кращої координації між відомствами </w:t>
      </w:r>
      <w:r>
        <w:rPr>
          <w:rFonts w:eastAsia="Calibri" w:cs="Times New Roman" w:ascii="Times New Roman" w:hAnsi="Times New Roman"/>
          <w:b w:val="false"/>
          <w:bCs w:val="false"/>
          <w:color w:val="000000" w:themeColor="text1"/>
          <w:kern w:val="0"/>
          <w:sz w:val="24"/>
          <w:szCs w:val="24"/>
          <w:u w:val="none"/>
          <w:lang w:val="uk-UA" w:eastAsia="en-US" w:bidi="ar-SA"/>
        </w:rPr>
        <w:t>задля захисту</w:t>
      </w:r>
      <w:r>
        <w:rPr>
          <w:rFonts w:cs="Times New Roman" w:ascii="Times New Roman" w:hAnsi="Times New Roman"/>
          <w:b w:val="false"/>
          <w:bCs w:val="false"/>
          <w:color w:val="000000" w:themeColor="text1"/>
          <w:sz w:val="24"/>
          <w:szCs w:val="24"/>
          <w:u w:val="none"/>
          <w:lang w:val="uk-UA"/>
        </w:rPr>
        <w:t xml:space="preserve"> ВПО, які </w:t>
      </w:r>
      <w:r>
        <w:rPr>
          <w:rFonts w:cs="Times New Roman" w:ascii="Times New Roman" w:hAnsi="Times New Roman"/>
          <w:b/>
          <w:bCs/>
          <w:color w:val="000000" w:themeColor="text1"/>
          <w:sz w:val="24"/>
          <w:szCs w:val="24"/>
          <w:u w:val="none"/>
          <w:lang w:val="uk-UA"/>
        </w:rPr>
        <w:t>перебувають у місцях компактного проживання</w:t>
      </w:r>
      <w:r>
        <w:rPr>
          <w:rFonts w:cs="Times New Roman" w:ascii="Times New Roman" w:hAnsi="Times New Roman"/>
          <w:b w:val="false"/>
          <w:bCs w:val="false"/>
          <w:color w:val="000000" w:themeColor="text1"/>
          <w:sz w:val="24"/>
          <w:szCs w:val="24"/>
          <w:u w:val="none"/>
          <w:lang w:val="uk-UA"/>
        </w:rPr>
        <w:t xml:space="preserve">. Зокрема, покращення умов їхнього життя на цей період, і у той же час </w:t>
      </w:r>
      <w:r>
        <w:rPr>
          <w:rFonts w:cs="Times New Roman" w:ascii="Times New Roman" w:hAnsi="Times New Roman"/>
          <w:b/>
          <w:bCs/>
          <w:color w:val="000000" w:themeColor="text1"/>
          <w:sz w:val="24"/>
          <w:szCs w:val="24"/>
          <w:u w:val="none"/>
          <w:lang w:val="uk-UA"/>
        </w:rPr>
        <w:t>просування більш ефективних тимчасових і довгострокових рішень проблеми</w:t>
      </w:r>
      <w:r>
        <w:rPr>
          <w:rFonts w:cs="Times New Roman" w:ascii="Times New Roman" w:hAnsi="Times New Roman"/>
          <w:b w:val="false"/>
          <w:bCs w:val="false"/>
          <w:color w:val="000000" w:themeColor="text1"/>
          <w:sz w:val="24"/>
          <w:szCs w:val="24"/>
          <w:u w:val="none"/>
          <w:lang w:val="uk-UA"/>
        </w:rPr>
        <w:t xml:space="preserve">. Кластер працює над тим, щоб </w:t>
      </w:r>
      <w:r>
        <w:rPr>
          <w:rFonts w:cs="Times New Roman" w:ascii="Times New Roman" w:hAnsi="Times New Roman"/>
          <w:b/>
          <w:bCs/>
          <w:color w:val="000000" w:themeColor="text1"/>
          <w:sz w:val="24"/>
          <w:szCs w:val="24"/>
          <w:u w:val="none"/>
          <w:lang w:val="uk-UA"/>
        </w:rPr>
        <w:t>потреби громад</w:t>
      </w:r>
      <w:r>
        <w:rPr>
          <w:rFonts w:cs="Times New Roman" w:ascii="Times New Roman" w:hAnsi="Times New Roman"/>
          <w:b w:val="false"/>
          <w:bCs w:val="false"/>
          <w:color w:val="000000" w:themeColor="text1"/>
          <w:sz w:val="24"/>
          <w:szCs w:val="24"/>
          <w:u w:val="none"/>
          <w:lang w:val="uk-UA"/>
        </w:rPr>
        <w:t xml:space="preserve"> (як ВПО, так і тих, які їх приймають) </w:t>
      </w:r>
      <w:r>
        <w:rPr>
          <w:rFonts w:cs="Times New Roman" w:ascii="Times New Roman" w:hAnsi="Times New Roman"/>
          <w:b/>
          <w:bCs/>
          <w:color w:val="000000" w:themeColor="text1"/>
          <w:sz w:val="24"/>
          <w:szCs w:val="24"/>
          <w:u w:val="none"/>
          <w:lang w:val="uk-UA"/>
        </w:rPr>
        <w:t xml:space="preserve">були завжди в центрі уваги, </w:t>
      </w:r>
      <w:r>
        <w:rPr>
          <w:rFonts w:cs="Times New Roman" w:ascii="Times New Roman" w:hAnsi="Times New Roman"/>
          <w:b w:val="false"/>
          <w:bCs w:val="false"/>
          <w:color w:val="000000" w:themeColor="text1"/>
          <w:sz w:val="24"/>
          <w:szCs w:val="24"/>
          <w:u w:val="none"/>
          <w:lang w:val="uk-UA"/>
        </w:rPr>
        <w:t xml:space="preserve">поки рівень відповідності стандартам </w:t>
      </w:r>
      <w:r>
        <w:rPr>
          <w:rFonts w:cs="Times New Roman" w:ascii="Times New Roman" w:hAnsi="Times New Roman"/>
          <w:b/>
          <w:bCs/>
          <w:color w:val="000000" w:themeColor="text1"/>
          <w:sz w:val="24"/>
          <w:szCs w:val="24"/>
          <w:u w:val="none"/>
          <w:lang w:val="en-US"/>
        </w:rPr>
        <w:t xml:space="preserve">CCCM </w:t>
      </w:r>
      <w:r>
        <w:rPr>
          <w:rStyle w:val="Style13"/>
          <w:rFonts w:cs="Times New Roman" w:ascii="Times New Roman" w:hAnsi="Times New Roman"/>
          <w:b/>
          <w:bCs/>
          <w:color w:val="000000" w:themeColor="text1"/>
          <w:sz w:val="24"/>
          <w:szCs w:val="24"/>
          <w:u w:val="none"/>
          <w:lang w:val="en-US"/>
        </w:rPr>
        <w:footnoteReference w:id="2"/>
      </w:r>
      <w:r>
        <w:rPr>
          <w:rFonts w:cs="Times New Roman" w:ascii="Times New Roman" w:hAnsi="Times New Roman"/>
          <w:b/>
          <w:bCs/>
          <w:color w:val="000000" w:themeColor="text1"/>
          <w:sz w:val="24"/>
          <w:szCs w:val="24"/>
          <w:u w:val="none"/>
          <w:lang w:val="en-US"/>
        </w:rPr>
        <w:t xml:space="preserve"> </w:t>
      </w:r>
      <w:r>
        <w:rPr>
          <w:rFonts w:cs="Times New Roman" w:ascii="Times New Roman" w:hAnsi="Times New Roman"/>
          <w:b/>
          <w:bCs/>
          <w:color w:val="000000" w:themeColor="text1"/>
          <w:sz w:val="24"/>
          <w:szCs w:val="24"/>
          <w:u w:val="none"/>
          <w:lang w:val="uk-UA"/>
        </w:rPr>
        <w:t xml:space="preserve">та </w:t>
      </w:r>
      <w:r>
        <w:rPr>
          <w:rFonts w:cs="Times New Roman" w:ascii="Times New Roman" w:hAnsi="Times New Roman"/>
          <w:b/>
          <w:bCs/>
          <w:color w:val="000000" w:themeColor="text1"/>
          <w:sz w:val="24"/>
          <w:szCs w:val="24"/>
          <w:u w:val="none"/>
          <w:lang w:val="en-US"/>
        </w:rPr>
        <w:t xml:space="preserve">SPHERE </w:t>
      </w:r>
      <w:r>
        <w:rPr>
          <w:rStyle w:val="Style13"/>
          <w:rFonts w:cs="Times New Roman" w:ascii="Times New Roman" w:hAnsi="Times New Roman"/>
          <w:b/>
          <w:bCs/>
          <w:color w:val="000000" w:themeColor="text1"/>
          <w:sz w:val="24"/>
          <w:szCs w:val="24"/>
          <w:u w:val="none"/>
          <w:lang w:val="en-US"/>
        </w:rPr>
        <w:footnoteReference w:id="3"/>
      </w:r>
      <w:r>
        <w:rPr>
          <w:rFonts w:cs="Times New Roman" w:ascii="Times New Roman" w:hAnsi="Times New Roman"/>
          <w:b/>
          <w:bCs/>
          <w:color w:val="000000" w:themeColor="text1"/>
          <w:sz w:val="24"/>
          <w:szCs w:val="24"/>
          <w:u w:val="none"/>
          <w:lang w:val="en-US"/>
        </w:rPr>
        <w:t xml:space="preserve"> </w:t>
      </w:r>
      <w:r>
        <w:rPr>
          <w:rFonts w:cs="Times New Roman" w:ascii="Times New Roman" w:hAnsi="Times New Roman"/>
          <w:b w:val="false"/>
          <w:bCs w:val="false"/>
          <w:color w:val="000000" w:themeColor="text1"/>
          <w:sz w:val="24"/>
          <w:szCs w:val="24"/>
          <w:u w:val="none"/>
          <w:lang w:val="uk-UA"/>
        </w:rPr>
        <w:t xml:space="preserve">лишається низьким, і допоки спроможності на місцевому рівні не стануть кращими. </w:t>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ab/>
        <w:t xml:space="preserve">Кластер намагатиметься досягти цієї всеохоплюючої цілі шляхом виконання низки конкретних завдань: </w:t>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ab/>
      </w:r>
      <w:r>
        <w:rPr>
          <w:rFonts w:cs="Times New Roman" w:ascii="Times New Roman" w:hAnsi="Times New Roman"/>
          <w:b/>
          <w:bCs/>
          <w:color w:val="000000" w:themeColor="text1"/>
          <w:sz w:val="24"/>
          <w:szCs w:val="24"/>
          <w:u w:val="none"/>
          <w:lang w:val="uk-UA"/>
        </w:rPr>
        <w:t xml:space="preserve">Завдання: </w:t>
      </w:r>
    </w:p>
    <w:p>
      <w:pPr>
        <w:pStyle w:val="Normal"/>
        <w:widowControl/>
        <w:numPr>
          <w:ilvl w:val="0"/>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single"/>
          <w:lang w:val="uk-UA"/>
        </w:rPr>
        <w:t xml:space="preserve">Ефективна координація: </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забезпеч</w:t>
      </w:r>
      <w:r>
        <w:rPr>
          <w:rFonts w:cs="Times New Roman" w:ascii="Times New Roman" w:hAnsi="Times New Roman"/>
          <w:b w:val="false"/>
          <w:bCs w:val="false"/>
          <w:color w:val="000000" w:themeColor="text1"/>
          <w:sz w:val="24"/>
          <w:szCs w:val="24"/>
          <w:u w:val="none"/>
          <w:lang w:val="uk-UA"/>
        </w:rPr>
        <w:t>ити</w:t>
      </w:r>
      <w:r>
        <w:rPr>
          <w:rFonts w:cs="Times New Roman" w:ascii="Times New Roman" w:hAnsi="Times New Roman"/>
          <w:b w:val="false"/>
          <w:bCs w:val="false"/>
          <w:color w:val="000000" w:themeColor="text1"/>
          <w:sz w:val="24"/>
          <w:szCs w:val="24"/>
          <w:u w:val="none"/>
          <w:lang w:val="uk-UA"/>
        </w:rPr>
        <w:t xml:space="preserve"> ефективн</w:t>
      </w:r>
      <w:r>
        <w:rPr>
          <w:rFonts w:cs="Times New Roman" w:ascii="Times New Roman" w:hAnsi="Times New Roman"/>
          <w:b w:val="false"/>
          <w:bCs w:val="false"/>
          <w:color w:val="000000" w:themeColor="text1"/>
          <w:sz w:val="24"/>
          <w:szCs w:val="24"/>
          <w:u w:val="none"/>
          <w:lang w:val="uk-UA"/>
        </w:rPr>
        <w:t>у</w:t>
      </w:r>
      <w:r>
        <w:rPr>
          <w:rFonts w:cs="Times New Roman" w:ascii="Times New Roman" w:hAnsi="Times New Roman"/>
          <w:b w:val="false"/>
          <w:bCs w:val="false"/>
          <w:color w:val="000000" w:themeColor="text1"/>
          <w:sz w:val="24"/>
          <w:szCs w:val="24"/>
          <w:u w:val="none"/>
          <w:lang w:val="uk-UA"/>
        </w:rPr>
        <w:t xml:space="preserve"> та інклюзивн</w:t>
      </w:r>
      <w:r>
        <w:rPr>
          <w:rFonts w:eastAsia="Calibri" w:cs="Times New Roman" w:ascii="Times New Roman" w:hAnsi="Times New Roman"/>
          <w:b w:val="false"/>
          <w:bCs w:val="false"/>
          <w:color w:val="000000" w:themeColor="text1"/>
          <w:kern w:val="0"/>
          <w:sz w:val="24"/>
          <w:szCs w:val="24"/>
          <w:u w:val="none"/>
          <w:lang w:val="uk-UA" w:eastAsia="en-US" w:bidi="ar-SA"/>
        </w:rPr>
        <w:t>у</w:t>
      </w:r>
      <w:r>
        <w:rPr>
          <w:rFonts w:cs="Times New Roman" w:ascii="Times New Roman" w:hAnsi="Times New Roman"/>
          <w:b w:val="false"/>
          <w:bCs w:val="false"/>
          <w:color w:val="000000" w:themeColor="text1"/>
          <w:sz w:val="24"/>
          <w:szCs w:val="24"/>
          <w:u w:val="none"/>
          <w:lang w:val="uk-UA"/>
        </w:rPr>
        <w:t xml:space="preserve"> координаці</w:t>
      </w:r>
      <w:r>
        <w:rPr>
          <w:rFonts w:cs="Times New Roman" w:ascii="Times New Roman" w:hAnsi="Times New Roman"/>
          <w:b w:val="false"/>
          <w:bCs w:val="false"/>
          <w:color w:val="000000" w:themeColor="text1"/>
          <w:sz w:val="24"/>
          <w:szCs w:val="24"/>
          <w:u w:val="none"/>
          <w:lang w:val="uk-UA"/>
        </w:rPr>
        <w:t>ю</w:t>
      </w:r>
      <w:r>
        <w:rPr>
          <w:rFonts w:cs="Times New Roman" w:ascii="Times New Roman" w:hAnsi="Times New Roman"/>
          <w:b w:val="false"/>
          <w:bCs w:val="false"/>
          <w:color w:val="000000" w:themeColor="text1"/>
          <w:sz w:val="24"/>
          <w:szCs w:val="24"/>
          <w:u w:val="none"/>
          <w:lang w:val="uk-UA"/>
        </w:rPr>
        <w:t xml:space="preserve"> різних учасників процесу і відповідальних сторін, які працюють у сфері </w:t>
      </w:r>
      <w:r>
        <w:rPr>
          <w:rFonts w:cs="Times New Roman" w:ascii="Times New Roman" w:hAnsi="Times New Roman"/>
          <w:b w:val="false"/>
          <w:bCs w:val="false"/>
          <w:color w:val="000000" w:themeColor="text1"/>
          <w:sz w:val="24"/>
          <w:szCs w:val="24"/>
          <w:u w:val="none"/>
          <w:lang w:val="en-US"/>
        </w:rPr>
        <w:t xml:space="preserve">CCCM, </w:t>
      </w:r>
      <w:r>
        <w:rPr>
          <w:rFonts w:cs="Times New Roman" w:ascii="Times New Roman" w:hAnsi="Times New Roman"/>
          <w:b w:val="false"/>
          <w:bCs w:val="false"/>
          <w:color w:val="000000" w:themeColor="text1"/>
          <w:sz w:val="24"/>
          <w:szCs w:val="24"/>
          <w:u w:val="none"/>
          <w:lang w:val="uk-UA"/>
        </w:rPr>
        <w:t xml:space="preserve">у тому числі державних органів влади на центральному, регіональному та місцевому рівнях, гуманітарних організацій, представників громадянського суспільства та донорів. Мета — підтримати їхню координацію між собою щодо організації місць компактного проживання ВПО; </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брати на себе ініціативу та надавати стратегічну підтримку при оцінці пропонованих проектів і визначенні їхньої пріоритетності, а також єдиних критеріїв фінансування </w:t>
      </w:r>
      <w:r>
        <w:rPr>
          <w:rFonts w:cs="Times New Roman" w:ascii="Times New Roman" w:hAnsi="Times New Roman"/>
          <w:b w:val="false"/>
          <w:bCs w:val="false"/>
          <w:color w:val="000000" w:themeColor="text1"/>
          <w:sz w:val="24"/>
          <w:szCs w:val="24"/>
          <w:u w:val="none"/>
          <w:lang w:val="uk-UA"/>
        </w:rPr>
        <w:t xml:space="preserve">для їхнього подальшого включення у систему запитів </w:t>
      </w:r>
      <w:r>
        <w:rPr>
          <w:rFonts w:cs="Times New Roman" w:ascii="Times New Roman" w:hAnsi="Times New Roman"/>
          <w:b w:val="false"/>
          <w:bCs w:val="false"/>
          <w:color w:val="000000" w:themeColor="text1"/>
          <w:sz w:val="24"/>
          <w:szCs w:val="24"/>
          <w:u w:val="none"/>
          <w:lang w:val="en-US"/>
        </w:rPr>
        <w:t xml:space="preserve">Consolidated Appeals, Flash Appeals, CERF, ERF </w:t>
      </w:r>
      <w:r>
        <w:rPr>
          <w:rFonts w:cs="Times New Roman" w:ascii="Times New Roman" w:hAnsi="Times New Roman"/>
          <w:b w:val="false"/>
          <w:bCs w:val="false"/>
          <w:color w:val="000000" w:themeColor="text1"/>
          <w:sz w:val="24"/>
          <w:szCs w:val="24"/>
          <w:u w:val="none"/>
          <w:lang w:val="uk-UA"/>
        </w:rPr>
        <w:t xml:space="preserve">та інші між-відомчі системи; </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визначити спільну з партнерами </w:t>
      </w:r>
      <w:r>
        <w:rPr>
          <w:rFonts w:cs="Times New Roman" w:ascii="Times New Roman" w:hAnsi="Times New Roman"/>
          <w:b w:val="false"/>
          <w:bCs w:val="false"/>
          <w:color w:val="000000" w:themeColor="text1"/>
          <w:sz w:val="24"/>
          <w:szCs w:val="24"/>
          <w:u w:val="none"/>
          <w:lang w:val="en-US"/>
        </w:rPr>
        <w:t xml:space="preserve">CCCM </w:t>
      </w:r>
      <w:r>
        <w:rPr>
          <w:rFonts w:cs="Times New Roman" w:ascii="Times New Roman" w:hAnsi="Times New Roman"/>
          <w:b w:val="false"/>
          <w:bCs w:val="false"/>
          <w:color w:val="000000" w:themeColor="text1"/>
          <w:sz w:val="24"/>
          <w:szCs w:val="24"/>
          <w:u w:val="none"/>
          <w:lang w:val="uk-UA"/>
        </w:rPr>
        <w:t xml:space="preserve">програму дій, щоб мати єдині стандарти діяльності, а відтак, щоб ВПО отримували однаково якісні послуги у різних регіонах \ місцях розташування по всій країні; </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розвивати у</w:t>
      </w:r>
      <w:r>
        <w:rPr>
          <w:rFonts w:cs="Times New Roman" w:ascii="Times New Roman" w:hAnsi="Times New Roman"/>
          <w:b w:val="false"/>
          <w:bCs w:val="false"/>
          <w:color w:val="000000" w:themeColor="text1"/>
          <w:sz w:val="24"/>
          <w:szCs w:val="24"/>
          <w:u w:val="none"/>
          <w:lang w:val="en-US"/>
        </w:rPr>
        <w:t xml:space="preserve"> CCCM </w:t>
      </w:r>
      <w:r>
        <w:rPr>
          <w:rFonts w:cs="Times New Roman" w:ascii="Times New Roman" w:hAnsi="Times New Roman"/>
          <w:b w:val="false"/>
          <w:bCs w:val="false"/>
          <w:color w:val="000000" w:themeColor="text1"/>
          <w:sz w:val="24"/>
          <w:szCs w:val="24"/>
          <w:u w:val="none"/>
          <w:lang w:val="uk-UA"/>
        </w:rPr>
        <w:t xml:space="preserve">підхід, заснований на співпраці між відомствами та адаптації до умов місцевості,  і який бере до уваги складнощі роботи у містах, а отже фокусується як на реактивних, так і превентивних діях. </w:t>
      </w:r>
    </w:p>
    <w:p>
      <w:pPr>
        <w:pStyle w:val="Normal"/>
        <w:widowControl/>
        <w:numPr>
          <w:ilvl w:val="0"/>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single"/>
          <w:lang w:val="uk-UA"/>
        </w:rPr>
        <w:t>Розбудова можливостей, адаптованих під місцеві реалії;</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розширювати можливості учасників і відповідальних сторін у межах </w:t>
      </w:r>
      <w:r>
        <w:rPr>
          <w:rFonts w:cs="Times New Roman" w:ascii="Times New Roman" w:hAnsi="Times New Roman"/>
          <w:b w:val="false"/>
          <w:bCs w:val="false"/>
          <w:color w:val="000000" w:themeColor="text1"/>
          <w:sz w:val="24"/>
          <w:szCs w:val="24"/>
          <w:u w:val="none"/>
          <w:lang w:val="en-US"/>
        </w:rPr>
        <w:t xml:space="preserve">CCCM, </w:t>
      </w:r>
      <w:r>
        <w:rPr>
          <w:rFonts w:cs="Times New Roman" w:ascii="Times New Roman" w:hAnsi="Times New Roman"/>
          <w:b w:val="false"/>
          <w:bCs w:val="false"/>
          <w:color w:val="000000" w:themeColor="text1"/>
          <w:sz w:val="24"/>
          <w:szCs w:val="24"/>
          <w:u w:val="none"/>
          <w:lang w:val="uk-UA"/>
        </w:rPr>
        <w:t xml:space="preserve">які займаються управлінням колективних і транзитних центрів, на основі отриманих даних, у тому числі про потреби у навичках і стандарти надання послуг у місцях компактного проживання ВПО. </w:t>
      </w:r>
    </w:p>
    <w:p>
      <w:pPr>
        <w:pStyle w:val="Normal"/>
        <w:widowControl/>
        <w:numPr>
          <w:ilvl w:val="0"/>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single"/>
          <w:lang w:val="uk-UA"/>
        </w:rPr>
        <w:t>Прогнозоване та стандартизоване реагування;</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підтримувати формування </w:t>
      </w:r>
      <w:r>
        <w:rPr>
          <w:rFonts w:eastAsia="Calibri" w:cs="Times New Roman" w:ascii="Times New Roman" w:hAnsi="Times New Roman"/>
          <w:b w:val="false"/>
          <w:bCs w:val="false"/>
          <w:color w:val="000000" w:themeColor="text1"/>
          <w:kern w:val="0"/>
          <w:sz w:val="24"/>
          <w:szCs w:val="24"/>
          <w:u w:val="none"/>
          <w:lang w:val="uk-UA" w:eastAsia="en-US" w:bidi="ar-SA"/>
        </w:rPr>
        <w:t>єдиних для усіх</w:t>
      </w:r>
      <w:r>
        <w:rPr>
          <w:rFonts w:cs="Times New Roman" w:ascii="Times New Roman" w:hAnsi="Times New Roman"/>
          <w:b w:val="false"/>
          <w:bCs w:val="false"/>
          <w:color w:val="000000" w:themeColor="text1"/>
          <w:sz w:val="24"/>
          <w:szCs w:val="24"/>
          <w:u w:val="none"/>
          <w:lang w:val="uk-UA"/>
        </w:rPr>
        <w:t xml:space="preserve"> і цілісних підходів до вивчення місць компактного проживання ВПО та до </w:t>
      </w:r>
      <w:r>
        <w:rPr>
          <w:rFonts w:eastAsia="Calibri" w:cs="Times New Roman" w:ascii="Times New Roman" w:hAnsi="Times New Roman"/>
          <w:b w:val="false"/>
          <w:bCs w:val="false"/>
          <w:color w:val="000000" w:themeColor="text1"/>
          <w:kern w:val="0"/>
          <w:sz w:val="24"/>
          <w:szCs w:val="24"/>
          <w:u w:val="none"/>
          <w:lang w:val="uk-UA" w:eastAsia="en-US" w:bidi="ar-SA"/>
        </w:rPr>
        <w:t>І</w:t>
      </w:r>
      <w:r>
        <w:rPr>
          <w:rFonts w:cs="Times New Roman" w:ascii="Times New Roman" w:hAnsi="Times New Roman"/>
          <w:b w:val="false"/>
          <w:bCs w:val="false"/>
          <w:color w:val="000000" w:themeColor="text1"/>
          <w:sz w:val="24"/>
          <w:szCs w:val="24"/>
          <w:u w:val="none"/>
          <w:lang w:val="uk-UA"/>
        </w:rPr>
        <w:t xml:space="preserve">нформаційного </w:t>
      </w:r>
      <w:r>
        <w:rPr>
          <w:rFonts w:eastAsia="Calibri" w:cs="Times New Roman" w:ascii="Times New Roman" w:hAnsi="Times New Roman"/>
          <w:b w:val="false"/>
          <w:bCs w:val="false"/>
          <w:color w:val="000000" w:themeColor="text1"/>
          <w:kern w:val="0"/>
          <w:sz w:val="24"/>
          <w:szCs w:val="24"/>
          <w:u w:val="none"/>
          <w:lang w:val="uk-UA" w:eastAsia="en-US" w:bidi="ar-SA"/>
        </w:rPr>
        <w:t>М</w:t>
      </w:r>
      <w:r>
        <w:rPr>
          <w:rFonts w:cs="Times New Roman" w:ascii="Times New Roman" w:hAnsi="Times New Roman"/>
          <w:b w:val="false"/>
          <w:bCs w:val="false"/>
          <w:color w:val="000000" w:themeColor="text1"/>
          <w:sz w:val="24"/>
          <w:szCs w:val="24"/>
          <w:u w:val="none"/>
          <w:lang w:val="uk-UA"/>
        </w:rPr>
        <w:t xml:space="preserve">енеджменту; </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заохочувати використання партнерами кластеру єдиних правил та інструментів. Розповсюджувати інформацію про відповідні стандарти, інструкції, правила і приклади правильної поведінки, а також заохочувати їх дотримання, у тому числі шляхом перекладу відповідних матеріалів на українську;</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наглядати за тим, щоб усі члени кластеру працювали за принципами </w:t>
      </w:r>
      <w:r>
        <w:rPr>
          <w:rFonts w:eastAsia="Calibri" w:cs="Times New Roman" w:ascii="Times New Roman" w:hAnsi="Times New Roman"/>
          <w:b w:val="false"/>
          <w:bCs w:val="false"/>
          <w:color w:val="000000" w:themeColor="text1"/>
          <w:kern w:val="0"/>
          <w:sz w:val="24"/>
          <w:szCs w:val="24"/>
          <w:u w:val="none"/>
          <w:lang w:val="uk-UA" w:eastAsia="en-US" w:bidi="ar-SA"/>
        </w:rPr>
        <w:t>гендерно-вікової рівності,</w:t>
      </w:r>
      <w:r>
        <w:rPr>
          <w:rFonts w:cs="Times New Roman" w:ascii="Times New Roman" w:hAnsi="Times New Roman"/>
          <w:b w:val="false"/>
          <w:bCs w:val="false"/>
          <w:color w:val="000000" w:themeColor="text1"/>
          <w:sz w:val="24"/>
          <w:szCs w:val="24"/>
          <w:u w:val="none"/>
          <w:lang w:val="uk-UA"/>
        </w:rPr>
        <w:t xml:space="preserve"> запобігали порушенням прав людей і експлуатації людей за гендерною ознакою, створювали механізми відповідальності у межах політики щодо постраждалого від конфлікту населення. </w:t>
      </w:r>
    </w:p>
    <w:p>
      <w:pPr>
        <w:pStyle w:val="Normal"/>
        <w:widowControl/>
        <w:numPr>
          <w:ilvl w:val="0"/>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single"/>
          <w:lang w:val="uk-UA"/>
        </w:rPr>
        <w:t>Комунікація та поширення інформації;</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розвивати стабільну звітність та розповсюдження інформації серед членів кластеру, а також з іншими кластерами, щоб запобігати дублювання роботи і вчасно виявляти проблеми. Заохочувати організацію моніторингу, щоб гарантувати якісне надання послуг на місцях і оперативно корегувати хід операцій. </w:t>
      </w:r>
    </w:p>
    <w:p>
      <w:pPr>
        <w:pStyle w:val="Normal"/>
        <w:widowControl/>
        <w:numPr>
          <w:ilvl w:val="0"/>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single"/>
          <w:lang w:val="uk-UA"/>
        </w:rPr>
        <w:t xml:space="preserve">Між-відомча співпраця та </w:t>
      </w:r>
      <w:r>
        <w:rPr>
          <w:rFonts w:cs="Times New Roman" w:ascii="Times New Roman" w:hAnsi="Times New Roman"/>
          <w:b w:val="false"/>
          <w:bCs w:val="false"/>
          <w:color w:val="000000" w:themeColor="text1"/>
          <w:sz w:val="24"/>
          <w:szCs w:val="24"/>
          <w:u w:val="single"/>
          <w:lang w:val="uk-UA"/>
        </w:rPr>
        <w:t>акцентування</w:t>
      </w:r>
      <w:r>
        <w:rPr>
          <w:rFonts w:cs="Times New Roman" w:ascii="Times New Roman" w:hAnsi="Times New Roman"/>
          <w:b w:val="false"/>
          <w:bCs w:val="false"/>
          <w:color w:val="000000" w:themeColor="text1"/>
          <w:sz w:val="24"/>
          <w:szCs w:val="24"/>
          <w:u w:val="single"/>
          <w:lang w:val="uk-UA"/>
        </w:rPr>
        <w:t xml:space="preserve"> ;</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забезпечувати ефективну координацію з іншими кластерами, у тому числі шляхом підготовки та презентації для них регулярних оновлень про діяльність </w:t>
      </w:r>
      <w:r>
        <w:rPr>
          <w:rFonts w:cs="Times New Roman" w:ascii="Times New Roman" w:hAnsi="Times New Roman"/>
          <w:b w:val="false"/>
          <w:bCs w:val="false"/>
          <w:color w:val="000000" w:themeColor="text1"/>
          <w:sz w:val="24"/>
          <w:szCs w:val="24"/>
          <w:u w:val="none"/>
          <w:lang w:val="en-US"/>
        </w:rPr>
        <w:t xml:space="preserve">CCCM; </w:t>
      </w:r>
    </w:p>
    <w:p>
      <w:pPr>
        <w:pStyle w:val="Normal"/>
        <w:widowControl/>
        <w:numPr>
          <w:ilvl w:val="1"/>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розставляти акценти при підготовці планів реагування та їхнього оперативного втілення, зокрема приділяти увагу темі запобігання  гендерному насиллю та інших ризиків, пов’язаних із робою у сфері захисту. </w:t>
      </w:r>
    </w:p>
    <w:p>
      <w:pPr>
        <w:pStyle w:val="Normal"/>
        <w:widowControl/>
        <w:numPr>
          <w:ilvl w:val="0"/>
          <w:numId w:val="1"/>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single"/>
          <w:lang w:val="uk-UA"/>
        </w:rPr>
        <w:t>Ініціативність і формування перехідних стратегій</w:t>
      </w:r>
      <w:r>
        <w:rPr>
          <w:rFonts w:cs="Times New Roman" w:ascii="Times New Roman" w:hAnsi="Times New Roman"/>
          <w:b w:val="false"/>
          <w:bCs w:val="false"/>
          <w:color w:val="000000" w:themeColor="text1"/>
          <w:sz w:val="24"/>
          <w:szCs w:val="24"/>
          <w:u w:val="none"/>
          <w:lang w:val="uk-UA"/>
        </w:rPr>
        <w:t xml:space="preserve"> </w:t>
      </w:r>
      <w:r>
        <w:rPr>
          <w:rFonts w:cs="Times New Roman" w:ascii="Times New Roman" w:hAnsi="Times New Roman"/>
          <w:b w:val="false"/>
          <w:bCs w:val="false"/>
          <w:color w:val="000000" w:themeColor="text1"/>
          <w:sz w:val="24"/>
          <w:szCs w:val="24"/>
          <w:u w:val="none"/>
          <w:lang w:val="uk-UA"/>
        </w:rPr>
        <w:t xml:space="preserve">з метою гарантування цілісності між гуманітарним реагуванням, операціями з відновлення та фазами розвитку. У взаємодії з владою просувати ідею про те, що будь-які тимчасові заходи, спрямовані на вирішення проблем із розселенням ВПО, мають включати поступовий розвиток та імплементацію й довгострокових стратегій. </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bCs/>
          <w:color w:val="000000" w:themeColor="text1"/>
          <w:kern w:val="0"/>
          <w:sz w:val="28"/>
          <w:szCs w:val="28"/>
          <w:u w:val="none"/>
          <w:lang w:val="uk-UA" w:eastAsia="en-US" w:bidi="ar-SA"/>
        </w:rPr>
        <w:t xml:space="preserve">Вихідні результати </w:t>
      </w:r>
      <w:r>
        <w:rPr>
          <w:rFonts w:cs="Times New Roman" w:ascii="Times New Roman" w:hAnsi="Times New Roman"/>
          <w:b/>
          <w:bCs/>
          <w:color w:val="000000" w:themeColor="text1"/>
          <w:sz w:val="28"/>
          <w:szCs w:val="28"/>
          <w:u w:val="none"/>
          <w:lang w:val="uk-UA"/>
        </w:rPr>
        <w:t>роботи Кластеру</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ab/>
        <w:t xml:space="preserve">Кластер має забезпечити виконання наступного: </w:t>
      </w:r>
    </w:p>
    <w:p>
      <w:pPr>
        <w:pStyle w:val="Normal"/>
        <w:widowControl/>
        <w:numPr>
          <w:ilvl w:val="0"/>
          <w:numId w:val="2"/>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bCs/>
          <w:color w:val="000000" w:themeColor="text1"/>
          <w:sz w:val="24"/>
          <w:szCs w:val="24"/>
          <w:u w:val="none"/>
          <w:lang w:val="uk-UA"/>
        </w:rPr>
        <w:t>Розробка звітів “</w:t>
      </w:r>
      <w:r>
        <w:rPr>
          <w:rFonts w:cs="Times New Roman" w:ascii="Times New Roman" w:hAnsi="Times New Roman"/>
          <w:b/>
          <w:bCs/>
          <w:color w:val="000000" w:themeColor="text1"/>
          <w:sz w:val="24"/>
          <w:szCs w:val="24"/>
          <w:u w:val="none"/>
          <w:lang w:val="en-US"/>
        </w:rPr>
        <w:t>4W”</w:t>
      </w:r>
      <w:r>
        <w:rPr>
          <w:rFonts w:cs="Times New Roman" w:ascii="Times New Roman" w:hAnsi="Times New Roman"/>
          <w:b w:val="false"/>
          <w:bCs w:val="false"/>
          <w:color w:val="000000" w:themeColor="text1"/>
          <w:sz w:val="24"/>
          <w:szCs w:val="24"/>
          <w:u w:val="none"/>
          <w:lang w:val="en-US"/>
        </w:rPr>
        <w:t xml:space="preserve"> – </w:t>
      </w:r>
      <w:r>
        <w:rPr>
          <w:rFonts w:cs="Times New Roman" w:ascii="Times New Roman" w:hAnsi="Times New Roman"/>
          <w:b w:val="false"/>
          <w:bCs w:val="false"/>
          <w:color w:val="000000" w:themeColor="text1"/>
          <w:sz w:val="24"/>
          <w:szCs w:val="24"/>
          <w:u w:val="none"/>
          <w:lang w:val="uk-UA"/>
        </w:rPr>
        <w:t>доповідей, які на етапі надзвичайної ситуації видаються щотижня, а в подальшому — кожен місяць, коли ситуація стабілізується;</w:t>
      </w:r>
    </w:p>
    <w:p>
      <w:pPr>
        <w:pStyle w:val="Normal"/>
        <w:widowControl/>
        <w:numPr>
          <w:ilvl w:val="0"/>
          <w:numId w:val="2"/>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bCs/>
          <w:color w:val="000000" w:themeColor="text1"/>
          <w:sz w:val="24"/>
          <w:szCs w:val="24"/>
          <w:u w:val="none"/>
          <w:lang w:val="uk-UA"/>
        </w:rPr>
        <w:t xml:space="preserve">Розширення технічних можливостей для місцевих учасників і відповідальних сторін здійснювати діяльність </w:t>
      </w:r>
      <w:r>
        <w:rPr>
          <w:rFonts w:cs="Times New Roman" w:ascii="Times New Roman" w:hAnsi="Times New Roman"/>
          <w:b/>
          <w:bCs/>
          <w:color w:val="000000" w:themeColor="text1"/>
          <w:sz w:val="24"/>
          <w:szCs w:val="24"/>
          <w:u w:val="none"/>
          <w:lang w:val="en-US"/>
        </w:rPr>
        <w:t>CCCM</w:t>
      </w:r>
      <w:r>
        <w:rPr>
          <w:rFonts w:cs="Times New Roman" w:ascii="Times New Roman" w:hAnsi="Times New Roman"/>
          <w:b w:val="false"/>
          <w:bCs w:val="false"/>
          <w:color w:val="000000" w:themeColor="text1"/>
          <w:sz w:val="24"/>
          <w:szCs w:val="24"/>
          <w:u w:val="none"/>
          <w:lang w:val="en-US"/>
        </w:rPr>
        <w:t xml:space="preserve">, </w:t>
      </w:r>
      <w:r>
        <w:rPr>
          <w:rFonts w:cs="Times New Roman" w:ascii="Times New Roman" w:hAnsi="Times New Roman"/>
          <w:b w:val="false"/>
          <w:bCs w:val="false"/>
          <w:color w:val="000000" w:themeColor="text1"/>
          <w:sz w:val="24"/>
          <w:szCs w:val="24"/>
          <w:u w:val="none"/>
          <w:lang w:val="uk-UA"/>
        </w:rPr>
        <w:t xml:space="preserve">включаючи адаптовану під місцеві умови, шляхом проведення тренінгів про базові стандарти, гуманітарні принципи </w:t>
      </w:r>
      <w:r>
        <w:rPr>
          <w:rFonts w:cs="Times New Roman" w:ascii="Times New Roman" w:hAnsi="Times New Roman"/>
          <w:b w:val="false"/>
          <w:bCs w:val="false"/>
          <w:color w:val="000000" w:themeColor="text1"/>
          <w:sz w:val="24"/>
          <w:szCs w:val="24"/>
          <w:u w:val="none"/>
          <w:lang w:val="en-US"/>
        </w:rPr>
        <w:t xml:space="preserve">CCCM, </w:t>
      </w:r>
      <w:r>
        <w:rPr>
          <w:rFonts w:cs="Times New Roman" w:ascii="Times New Roman" w:hAnsi="Times New Roman"/>
          <w:b w:val="false"/>
          <w:bCs w:val="false"/>
          <w:color w:val="000000" w:themeColor="text1"/>
          <w:sz w:val="24"/>
          <w:szCs w:val="24"/>
          <w:u w:val="none"/>
          <w:lang w:val="uk-UA"/>
        </w:rPr>
        <w:t>ризики у сфері захисту (включаючи мінімізацію ризиків, пов’язаних із гендерним насиллям). Це можна проводити у вигляді вступних семінарів і тренінгів для тренерів, а також, з можливості, розробляти інструкції, адаптовані під місцевий контекст;</w:t>
      </w:r>
    </w:p>
    <w:p>
      <w:pPr>
        <w:pStyle w:val="Normal"/>
        <w:widowControl/>
        <w:numPr>
          <w:ilvl w:val="0"/>
          <w:numId w:val="2"/>
        </w:numPr>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bCs/>
          <w:color w:val="000000" w:themeColor="text1"/>
          <w:kern w:val="0"/>
          <w:sz w:val="24"/>
          <w:szCs w:val="24"/>
          <w:u w:val="none"/>
          <w:lang w:val="uk-UA" w:eastAsia="en-US" w:bidi="ar-SA"/>
        </w:rPr>
        <w:t>Р</w:t>
      </w:r>
      <w:r>
        <w:rPr>
          <w:rFonts w:cs="Times New Roman" w:ascii="Times New Roman" w:hAnsi="Times New Roman"/>
          <w:b/>
          <w:bCs/>
          <w:color w:val="000000" w:themeColor="text1"/>
          <w:sz w:val="24"/>
          <w:szCs w:val="24"/>
          <w:u w:val="none"/>
          <w:lang w:val="uk-UA"/>
        </w:rPr>
        <w:t>озвиток інструментарію для Інформаційного Менеджменту</w:t>
      </w:r>
      <w:r>
        <w:rPr>
          <w:rFonts w:cs="Times New Roman" w:ascii="Times New Roman" w:hAnsi="Times New Roman"/>
          <w:b w:val="false"/>
          <w:bCs w:val="false"/>
          <w:color w:val="000000" w:themeColor="text1"/>
          <w:sz w:val="24"/>
          <w:szCs w:val="24"/>
          <w:u w:val="none"/>
          <w:lang w:val="uk-UA"/>
        </w:rPr>
        <w:t xml:space="preserve"> з метою розширення моніторингу, який проводять партнери, покращення та координування аналізу місць проживання ВПО і наданих їм послуг через спільну систему інформаційного менеджменту. </w:t>
      </w:r>
      <w:r>
        <w:rPr>
          <w:rFonts w:cs="Times New Roman" w:ascii="Times New Roman" w:hAnsi="Times New Roman"/>
          <w:b w:val="false"/>
          <w:bCs w:val="false"/>
          <w:color w:val="000000" w:themeColor="text1"/>
          <w:sz w:val="24"/>
          <w:szCs w:val="24"/>
          <w:u w:val="none"/>
          <w:lang w:val="uk-UA"/>
        </w:rPr>
        <w:t>Створювати матеріали для партнерів, інших кластерів та стейкхолдерів для поліпшення якості ухвалення ними рішень;</w:t>
      </w:r>
    </w:p>
    <w:p>
      <w:pPr>
        <w:pStyle w:val="Normal"/>
        <w:widowControl/>
        <w:numPr>
          <w:ilvl w:val="0"/>
          <w:numId w:val="2"/>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Розробка і оновлення </w:t>
      </w:r>
      <w:r>
        <w:rPr>
          <w:rFonts w:cs="Times New Roman" w:ascii="Times New Roman" w:hAnsi="Times New Roman"/>
          <w:b/>
          <w:bCs/>
          <w:color w:val="000000" w:themeColor="text1"/>
          <w:sz w:val="24"/>
          <w:szCs w:val="24"/>
          <w:u w:val="none"/>
          <w:lang w:val="uk-UA"/>
        </w:rPr>
        <w:t>інформації для розповсюдження</w:t>
      </w:r>
      <w:r>
        <w:rPr>
          <w:rFonts w:cs="Times New Roman" w:ascii="Times New Roman" w:hAnsi="Times New Roman"/>
          <w:b w:val="false"/>
          <w:bCs w:val="false"/>
          <w:color w:val="000000" w:themeColor="text1"/>
          <w:sz w:val="24"/>
          <w:szCs w:val="24"/>
          <w:u w:val="none"/>
          <w:lang w:val="uk-UA"/>
        </w:rPr>
        <w:t xml:space="preserve"> по мірі зростання запиту на неї, а також заохочувати її спільне використання партнерами;</w:t>
      </w:r>
    </w:p>
    <w:p>
      <w:pPr>
        <w:pStyle w:val="Normal"/>
        <w:widowControl/>
        <w:numPr>
          <w:ilvl w:val="0"/>
          <w:numId w:val="2"/>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Посилювати </w:t>
      </w:r>
      <w:r>
        <w:rPr>
          <w:rFonts w:cs="Times New Roman" w:ascii="Times New Roman" w:hAnsi="Times New Roman"/>
          <w:b/>
          <w:bCs/>
          <w:color w:val="000000" w:themeColor="text1"/>
          <w:sz w:val="24"/>
          <w:szCs w:val="24"/>
          <w:u w:val="none"/>
          <w:lang w:val="uk-UA"/>
        </w:rPr>
        <w:t xml:space="preserve">оперативну координацію учасників </w:t>
      </w:r>
      <w:r>
        <w:rPr>
          <w:rFonts w:cs="Times New Roman" w:ascii="Times New Roman" w:hAnsi="Times New Roman"/>
          <w:b/>
          <w:bCs/>
          <w:color w:val="000000" w:themeColor="text1"/>
          <w:sz w:val="24"/>
          <w:szCs w:val="24"/>
          <w:u w:val="none"/>
          <w:lang w:val="en-US"/>
        </w:rPr>
        <w:t>CCCM</w:t>
      </w:r>
      <w:r>
        <w:rPr>
          <w:rFonts w:cs="Times New Roman" w:ascii="Times New Roman" w:hAnsi="Times New Roman"/>
          <w:b w:val="false"/>
          <w:bCs w:val="false"/>
          <w:color w:val="000000" w:themeColor="text1"/>
          <w:sz w:val="24"/>
          <w:szCs w:val="24"/>
          <w:u w:val="none"/>
          <w:lang w:val="en-US"/>
        </w:rPr>
        <w:t xml:space="preserve"> </w:t>
      </w:r>
      <w:r>
        <w:rPr>
          <w:rFonts w:cs="Times New Roman" w:ascii="Times New Roman" w:hAnsi="Times New Roman"/>
          <w:b w:val="false"/>
          <w:bCs w:val="false"/>
          <w:color w:val="000000" w:themeColor="text1"/>
          <w:sz w:val="24"/>
          <w:szCs w:val="24"/>
          <w:u w:val="none"/>
          <w:lang w:val="uk-UA"/>
        </w:rPr>
        <w:t>на національному, регіональному та місцевому рівнях, включаючи на базі адаптованих під місцеві умови підходів;</w:t>
      </w:r>
    </w:p>
    <w:p>
      <w:pPr>
        <w:pStyle w:val="Normal"/>
        <w:widowControl/>
        <w:numPr>
          <w:ilvl w:val="0"/>
          <w:numId w:val="2"/>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Брати участь у роботі </w:t>
      </w:r>
      <w:r>
        <w:rPr>
          <w:rFonts w:cs="Times New Roman" w:ascii="Times New Roman" w:hAnsi="Times New Roman"/>
          <w:b/>
          <w:bCs/>
          <w:color w:val="000000" w:themeColor="text1"/>
          <w:sz w:val="24"/>
          <w:szCs w:val="24"/>
          <w:u w:val="none"/>
          <w:lang w:val="uk-UA"/>
        </w:rPr>
        <w:t>механізмів координації між кластерами</w:t>
      </w:r>
      <w:r>
        <w:rPr>
          <w:rFonts w:cs="Times New Roman" w:ascii="Times New Roman" w:hAnsi="Times New Roman"/>
          <w:b w:val="false"/>
          <w:bCs w:val="false"/>
          <w:color w:val="000000" w:themeColor="text1"/>
          <w:sz w:val="24"/>
          <w:szCs w:val="24"/>
          <w:u w:val="none"/>
          <w:lang w:val="uk-UA"/>
        </w:rPr>
        <w:t>, зокрема координувати свою роботу з іншими кластерами та робочими групами, щоб чітко розподілити ролі та відповідальність щодо надання послуг  у місцях компактного проживання ВПО;</w:t>
      </w:r>
    </w:p>
    <w:p>
      <w:pPr>
        <w:pStyle w:val="Normal"/>
        <w:widowControl/>
        <w:numPr>
          <w:ilvl w:val="0"/>
          <w:numId w:val="2"/>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У випадку потреби формувати </w:t>
      </w:r>
      <w:r>
        <w:rPr>
          <w:rFonts w:cs="Times New Roman" w:ascii="Times New Roman" w:hAnsi="Times New Roman"/>
          <w:b/>
          <w:bCs/>
          <w:color w:val="000000" w:themeColor="text1"/>
          <w:sz w:val="24"/>
          <w:szCs w:val="24"/>
          <w:u w:val="none"/>
          <w:lang w:val="uk-UA"/>
        </w:rPr>
        <w:t xml:space="preserve">робочі технічні </w:t>
      </w:r>
      <w:r>
        <w:rPr>
          <w:rFonts w:cs="Times New Roman" w:ascii="Times New Roman" w:hAnsi="Times New Roman"/>
          <w:b w:val="false"/>
          <w:bCs w:val="false"/>
          <w:color w:val="000000" w:themeColor="text1"/>
          <w:sz w:val="24"/>
          <w:szCs w:val="24"/>
          <w:u w:val="none"/>
          <w:lang w:val="uk-UA"/>
        </w:rPr>
        <w:t>або тимчасові тематичні групи.</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sz w:val="24"/>
          <w:szCs w:val="24"/>
        </w:rPr>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bCs/>
          <w:color w:val="000000" w:themeColor="text1"/>
          <w:sz w:val="28"/>
          <w:szCs w:val="28"/>
          <w:u w:val="none"/>
          <w:lang w:val="uk-UA"/>
        </w:rPr>
        <w:t xml:space="preserve">Типи та модальності програм </w:t>
      </w:r>
      <w:r>
        <w:rPr>
          <w:rFonts w:cs="Times New Roman" w:ascii="Times New Roman" w:hAnsi="Times New Roman"/>
          <w:b/>
          <w:bCs/>
          <w:color w:val="000000" w:themeColor="text1"/>
          <w:sz w:val="28"/>
          <w:szCs w:val="28"/>
          <w:u w:val="none"/>
          <w:lang w:val="en-US"/>
        </w:rPr>
        <w:t>CCCM</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en-US"/>
        </w:rPr>
        <w:tab/>
      </w:r>
      <w:r>
        <w:rPr>
          <w:rFonts w:cs="Times New Roman" w:ascii="Times New Roman" w:hAnsi="Times New Roman"/>
          <w:b w:val="false"/>
          <w:bCs w:val="false"/>
          <w:color w:val="000000" w:themeColor="text1"/>
          <w:sz w:val="24"/>
          <w:szCs w:val="24"/>
          <w:u w:val="none"/>
          <w:lang w:val="uk-UA"/>
        </w:rPr>
        <w:t xml:space="preserve">Кластер </w:t>
      </w:r>
      <w:r>
        <w:rPr>
          <w:rFonts w:cs="Times New Roman" w:ascii="Times New Roman" w:hAnsi="Times New Roman"/>
          <w:b w:val="false"/>
          <w:bCs w:val="false"/>
          <w:color w:val="000000" w:themeColor="text1"/>
          <w:sz w:val="24"/>
          <w:szCs w:val="24"/>
          <w:u w:val="none"/>
          <w:lang w:val="en-US"/>
        </w:rPr>
        <w:t xml:space="preserve">CCCM </w:t>
      </w:r>
      <w:r>
        <w:rPr>
          <w:rFonts w:cs="Times New Roman" w:ascii="Times New Roman" w:hAnsi="Times New Roman"/>
          <w:b w:val="false"/>
          <w:bCs w:val="false"/>
          <w:color w:val="000000" w:themeColor="text1"/>
          <w:sz w:val="24"/>
          <w:szCs w:val="24"/>
          <w:u w:val="none"/>
          <w:lang w:val="uk-UA"/>
        </w:rPr>
        <w:t xml:space="preserve">заохочує використання партнерами кластеру наступних складових програмної діяльності: </w:t>
      </w:r>
    </w:p>
    <w:p>
      <w:pPr>
        <w:pStyle w:val="Normal"/>
        <w:widowControl/>
        <w:numPr>
          <w:ilvl w:val="0"/>
          <w:numId w:val="3"/>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Монітринг співпраці партнерів </w:t>
      </w:r>
      <w:r>
        <w:rPr>
          <w:rFonts w:cs="Times New Roman" w:ascii="Times New Roman" w:hAnsi="Times New Roman"/>
          <w:b w:val="false"/>
          <w:bCs w:val="false"/>
          <w:color w:val="000000" w:themeColor="text1"/>
          <w:sz w:val="24"/>
          <w:szCs w:val="24"/>
          <w:u w:val="none"/>
          <w:lang w:val="en-US"/>
        </w:rPr>
        <w:t xml:space="preserve">CCCM </w:t>
      </w:r>
      <w:r>
        <w:rPr>
          <w:rFonts w:cs="Times New Roman" w:ascii="Times New Roman" w:hAnsi="Times New Roman"/>
          <w:b w:val="false"/>
          <w:bCs w:val="false"/>
          <w:color w:val="000000" w:themeColor="text1"/>
          <w:sz w:val="24"/>
          <w:szCs w:val="24"/>
          <w:u w:val="none"/>
          <w:lang w:val="uk-UA"/>
        </w:rPr>
        <w:t xml:space="preserve">з ВПО та приймаючими громадами на всіх етапах функціонування місць компактного проживання ВПО. Серед іншого, нагляд за створенням </w:t>
      </w:r>
      <w:r>
        <w:rPr>
          <w:rFonts w:cs="Times New Roman" w:ascii="Times New Roman" w:hAnsi="Times New Roman"/>
          <w:b/>
          <w:bCs/>
          <w:color w:val="000000" w:themeColor="text1"/>
          <w:sz w:val="24"/>
          <w:szCs w:val="24"/>
          <w:u w:val="none"/>
          <w:lang w:val="uk-UA"/>
        </w:rPr>
        <w:t>механізм</w:t>
      </w:r>
      <w:r>
        <w:rPr>
          <w:rFonts w:eastAsia="Calibri" w:cs="Times New Roman" w:ascii="Times New Roman" w:hAnsi="Times New Roman"/>
          <w:b/>
          <w:bCs/>
          <w:color w:val="000000" w:themeColor="text1"/>
          <w:kern w:val="0"/>
          <w:sz w:val="24"/>
          <w:szCs w:val="24"/>
          <w:u w:val="none"/>
          <w:lang w:val="uk-UA" w:eastAsia="en-US" w:bidi="ar-SA"/>
        </w:rPr>
        <w:t>ів</w:t>
      </w:r>
      <w:r>
        <w:rPr>
          <w:rFonts w:cs="Times New Roman" w:ascii="Times New Roman" w:hAnsi="Times New Roman"/>
          <w:b/>
          <w:bCs/>
          <w:color w:val="000000" w:themeColor="text1"/>
          <w:sz w:val="24"/>
          <w:szCs w:val="24"/>
          <w:u w:val="none"/>
          <w:lang w:val="uk-UA"/>
        </w:rPr>
        <w:t xml:space="preserve"> Комунікації з громадою (</w:t>
      </w:r>
      <w:r>
        <w:rPr>
          <w:rFonts w:cs="Times New Roman" w:ascii="Times New Roman" w:hAnsi="Times New Roman"/>
          <w:b/>
          <w:bCs/>
          <w:color w:val="000000" w:themeColor="text1"/>
          <w:sz w:val="24"/>
          <w:szCs w:val="24"/>
          <w:u w:val="none"/>
          <w:lang w:val="en-US"/>
        </w:rPr>
        <w:t>CwC)</w:t>
      </w:r>
      <w:r>
        <w:rPr>
          <w:rFonts w:cs="Times New Roman" w:ascii="Times New Roman" w:hAnsi="Times New Roman"/>
          <w:b w:val="false"/>
          <w:bCs w:val="false"/>
          <w:color w:val="000000" w:themeColor="text1"/>
          <w:sz w:val="24"/>
          <w:szCs w:val="24"/>
          <w:u w:val="none"/>
          <w:lang w:val="en-US"/>
        </w:rPr>
        <w:t xml:space="preserve">, </w:t>
      </w:r>
      <w:r>
        <w:rPr>
          <w:rFonts w:cs="Times New Roman" w:ascii="Times New Roman" w:hAnsi="Times New Roman"/>
          <w:b w:val="false"/>
          <w:bCs w:val="false"/>
          <w:color w:val="000000" w:themeColor="text1"/>
          <w:sz w:val="24"/>
          <w:szCs w:val="24"/>
          <w:u w:val="none"/>
          <w:lang w:val="uk-UA"/>
        </w:rPr>
        <w:t>отримання відгуків і скарг (</w:t>
      </w:r>
      <w:r>
        <w:rPr>
          <w:rFonts w:cs="Times New Roman" w:ascii="Times New Roman" w:hAnsi="Times New Roman"/>
          <w:b w:val="false"/>
          <w:bCs w:val="false"/>
          <w:color w:val="000000" w:themeColor="text1"/>
          <w:sz w:val="24"/>
          <w:szCs w:val="24"/>
          <w:u w:val="none"/>
          <w:lang w:val="en-US"/>
        </w:rPr>
        <w:t xml:space="preserve">FCM) </w:t>
      </w:r>
      <w:r>
        <w:rPr>
          <w:rFonts w:cs="Times New Roman" w:ascii="Times New Roman" w:hAnsi="Times New Roman"/>
          <w:b w:val="false"/>
          <w:bCs w:val="false"/>
          <w:color w:val="000000" w:themeColor="text1"/>
          <w:sz w:val="24"/>
          <w:szCs w:val="24"/>
          <w:u w:val="none"/>
          <w:lang w:val="uk-UA"/>
        </w:rPr>
        <w:t>та способів інформування людей;</w:t>
      </w:r>
    </w:p>
    <w:p>
      <w:pPr>
        <w:pStyle w:val="Normal"/>
        <w:widowControl/>
        <w:numPr>
          <w:ilvl w:val="0"/>
          <w:numId w:val="3"/>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Розробка </w:t>
      </w:r>
      <w:r>
        <w:rPr>
          <w:rFonts w:cs="Times New Roman" w:ascii="Times New Roman" w:hAnsi="Times New Roman"/>
          <w:b/>
          <w:bCs/>
          <w:color w:val="000000" w:themeColor="text1"/>
          <w:sz w:val="24"/>
          <w:szCs w:val="24"/>
          <w:u w:val="none"/>
          <w:lang w:val="uk-UA"/>
        </w:rPr>
        <w:t xml:space="preserve">методології запуску діяльності </w:t>
      </w:r>
      <w:r>
        <w:rPr>
          <w:rFonts w:cs="Times New Roman" w:ascii="Times New Roman" w:hAnsi="Times New Roman"/>
          <w:b/>
          <w:bCs/>
          <w:color w:val="000000" w:themeColor="text1"/>
          <w:sz w:val="24"/>
          <w:szCs w:val="24"/>
          <w:u w:val="none"/>
          <w:lang w:val="en-US"/>
        </w:rPr>
        <w:t>CCCM</w:t>
      </w:r>
      <w:r>
        <w:rPr>
          <w:rFonts w:cs="Times New Roman" w:ascii="Times New Roman" w:hAnsi="Times New Roman"/>
          <w:b w:val="false"/>
          <w:bCs w:val="false"/>
          <w:color w:val="000000" w:themeColor="text1"/>
          <w:sz w:val="24"/>
          <w:szCs w:val="24"/>
          <w:u w:val="none"/>
          <w:lang w:val="en-US"/>
        </w:rPr>
        <w:t xml:space="preserve"> </w:t>
      </w:r>
      <w:r>
        <w:rPr>
          <w:rFonts w:cs="Times New Roman" w:ascii="Times New Roman" w:hAnsi="Times New Roman"/>
          <w:b/>
          <w:bCs/>
          <w:color w:val="000000" w:themeColor="text1"/>
          <w:sz w:val="24"/>
          <w:szCs w:val="24"/>
          <w:u w:val="none"/>
          <w:lang w:val="uk-UA"/>
        </w:rPr>
        <w:t>в міських умовах і для колективних центрів розміщення ВПО</w:t>
      </w:r>
      <w:r>
        <w:rPr>
          <w:rFonts w:cs="Times New Roman" w:ascii="Times New Roman" w:hAnsi="Times New Roman"/>
          <w:b w:val="false"/>
          <w:bCs w:val="false"/>
          <w:color w:val="000000" w:themeColor="text1"/>
          <w:sz w:val="24"/>
          <w:szCs w:val="24"/>
          <w:u w:val="none"/>
          <w:lang w:val="uk-UA"/>
        </w:rPr>
        <w:t xml:space="preserve"> на базі технічних стандартів, таких як “Особливості переміщення осіб у містах та за межами таборів” (</w:t>
      </w:r>
      <w:r>
        <w:rPr>
          <w:rFonts w:cs="Times New Roman" w:ascii="Times New Roman" w:hAnsi="Times New Roman"/>
          <w:b w:val="false"/>
          <w:bCs w:val="false"/>
          <w:color w:val="000000" w:themeColor="text1"/>
          <w:sz w:val="24"/>
          <w:szCs w:val="24"/>
          <w:u w:val="none"/>
          <w:lang w:val="en-US"/>
        </w:rPr>
        <w:t xml:space="preserve">UDOC), </w:t>
      </w:r>
      <w:r>
        <w:rPr>
          <w:rFonts w:cs="Times New Roman" w:ascii="Times New Roman" w:hAnsi="Times New Roman"/>
          <w:b w:val="false"/>
          <w:bCs w:val="false"/>
          <w:color w:val="000000" w:themeColor="text1"/>
          <w:sz w:val="24"/>
          <w:szCs w:val="24"/>
          <w:u w:val="none"/>
          <w:lang w:val="uk-UA"/>
        </w:rPr>
        <w:t xml:space="preserve">а також адаптації програм </w:t>
      </w:r>
      <w:r>
        <w:rPr>
          <w:rFonts w:cs="Times New Roman" w:ascii="Times New Roman" w:hAnsi="Times New Roman"/>
          <w:b w:val="false"/>
          <w:bCs w:val="false"/>
          <w:color w:val="000000" w:themeColor="text1"/>
          <w:sz w:val="24"/>
          <w:szCs w:val="24"/>
          <w:u w:val="none"/>
          <w:lang w:val="en-US"/>
        </w:rPr>
        <w:t xml:space="preserve">CCCM </w:t>
      </w:r>
      <w:r>
        <w:rPr>
          <w:rFonts w:cs="Times New Roman" w:ascii="Times New Roman" w:hAnsi="Times New Roman"/>
          <w:b w:val="false"/>
          <w:bCs w:val="false"/>
          <w:color w:val="000000" w:themeColor="text1"/>
          <w:sz w:val="24"/>
          <w:szCs w:val="24"/>
          <w:u w:val="none"/>
          <w:lang w:val="uk-UA"/>
        </w:rPr>
        <w:t xml:space="preserve">відповідно до місцевих реалій; </w:t>
      </w:r>
    </w:p>
    <w:p>
      <w:pPr>
        <w:pStyle w:val="Normal"/>
        <w:widowControl/>
        <w:numPr>
          <w:ilvl w:val="0"/>
          <w:numId w:val="3"/>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Підтримка відповідальних за управління місцями компактного проживання ВПО у їхній роботі з </w:t>
      </w:r>
      <w:r>
        <w:rPr>
          <w:rFonts w:cs="Times New Roman" w:ascii="Times New Roman" w:hAnsi="Times New Roman"/>
          <w:b/>
          <w:bCs/>
          <w:color w:val="000000" w:themeColor="text1"/>
          <w:sz w:val="24"/>
          <w:szCs w:val="24"/>
          <w:u w:val="none"/>
          <w:lang w:val="uk-UA"/>
        </w:rPr>
        <w:t>нагляду та обслуговування</w:t>
      </w:r>
      <w:r>
        <w:rPr>
          <w:rFonts w:cs="Times New Roman" w:ascii="Times New Roman" w:hAnsi="Times New Roman"/>
          <w:b w:val="false"/>
          <w:bCs w:val="false"/>
          <w:color w:val="000000" w:themeColor="text1"/>
          <w:sz w:val="24"/>
          <w:szCs w:val="24"/>
          <w:u w:val="none"/>
          <w:lang w:val="uk-UA"/>
        </w:rPr>
        <w:t xml:space="preserve"> цих місць, зокрема підтримка програми “Готівка за роботу” (</w:t>
      </w:r>
      <w:r>
        <w:rPr>
          <w:rFonts w:cs="Times New Roman" w:ascii="Times New Roman" w:hAnsi="Times New Roman"/>
          <w:b w:val="false"/>
          <w:bCs w:val="false"/>
          <w:color w:val="000000" w:themeColor="text1"/>
          <w:sz w:val="24"/>
          <w:szCs w:val="24"/>
          <w:u w:val="none"/>
          <w:lang w:val="en-US"/>
        </w:rPr>
        <w:t xml:space="preserve">CfW) </w:t>
      </w:r>
      <w:r>
        <w:rPr>
          <w:rFonts w:cs="Times New Roman" w:ascii="Times New Roman" w:hAnsi="Times New Roman"/>
          <w:b w:val="false"/>
          <w:bCs w:val="false"/>
          <w:color w:val="000000" w:themeColor="text1"/>
          <w:sz w:val="24"/>
          <w:szCs w:val="24"/>
          <w:u w:val="none"/>
          <w:lang w:val="uk-UA"/>
        </w:rPr>
        <w:t>та громадських проектів, що можуть принести користь громадам навколо;</w:t>
      </w:r>
    </w:p>
    <w:p>
      <w:pPr>
        <w:pStyle w:val="Normal"/>
        <w:widowControl/>
        <w:numPr>
          <w:ilvl w:val="0"/>
          <w:numId w:val="3"/>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Заохочення </w:t>
      </w:r>
      <w:r>
        <w:rPr>
          <w:rFonts w:cs="Times New Roman" w:ascii="Times New Roman" w:hAnsi="Times New Roman"/>
          <w:b/>
          <w:bCs/>
          <w:color w:val="000000" w:themeColor="text1"/>
          <w:sz w:val="24"/>
          <w:szCs w:val="24"/>
          <w:u w:val="none"/>
          <w:lang w:val="uk-UA"/>
        </w:rPr>
        <w:t>запровадження Базових стандартів</w:t>
      </w:r>
      <w:r>
        <w:rPr>
          <w:rFonts w:cs="Times New Roman" w:ascii="Times New Roman" w:hAnsi="Times New Roman"/>
          <w:b w:val="false"/>
          <w:bCs w:val="false"/>
          <w:color w:val="000000" w:themeColor="text1"/>
          <w:sz w:val="24"/>
          <w:szCs w:val="24"/>
          <w:u w:val="none"/>
          <w:lang w:val="uk-UA"/>
        </w:rPr>
        <w:t xml:space="preserve"> у роботі </w:t>
      </w:r>
      <w:r>
        <w:rPr>
          <w:rFonts w:cs="Times New Roman" w:ascii="Times New Roman" w:hAnsi="Times New Roman"/>
          <w:b w:val="false"/>
          <w:bCs w:val="false"/>
          <w:color w:val="000000" w:themeColor="text1"/>
          <w:sz w:val="24"/>
          <w:szCs w:val="24"/>
          <w:u w:val="none"/>
          <w:lang w:val="en-US"/>
        </w:rPr>
        <w:t xml:space="preserve">CCCM, Sphere, INEE </w:t>
      </w:r>
      <w:r>
        <w:rPr>
          <w:rFonts w:cs="Times New Roman" w:ascii="Times New Roman" w:hAnsi="Times New Roman"/>
          <w:b w:val="false"/>
          <w:bCs w:val="false"/>
          <w:color w:val="000000" w:themeColor="text1"/>
          <w:sz w:val="24"/>
          <w:szCs w:val="24"/>
          <w:u w:val="none"/>
          <w:lang w:val="uk-UA"/>
        </w:rPr>
        <w:t xml:space="preserve">та в інших технічних питаннях, таких як охорона здоров’я, </w:t>
      </w:r>
      <w:r>
        <w:rPr>
          <w:rFonts w:cs="Times New Roman" w:ascii="Times New Roman" w:hAnsi="Times New Roman"/>
          <w:b w:val="false"/>
          <w:bCs w:val="false"/>
          <w:color w:val="000000" w:themeColor="text1"/>
          <w:sz w:val="24"/>
          <w:szCs w:val="24"/>
          <w:u w:val="none"/>
          <w:lang w:val="en-US"/>
        </w:rPr>
        <w:t xml:space="preserve">WASH, </w:t>
      </w:r>
      <w:r>
        <w:rPr>
          <w:rFonts w:cs="Times New Roman" w:ascii="Times New Roman" w:hAnsi="Times New Roman"/>
          <w:b w:val="false"/>
          <w:bCs w:val="false"/>
          <w:color w:val="000000" w:themeColor="text1"/>
          <w:sz w:val="24"/>
          <w:szCs w:val="24"/>
          <w:u w:val="none"/>
          <w:lang w:val="uk-UA"/>
        </w:rPr>
        <w:t>освіта, щоб гарантувати гідні права ВПО і їхній повний доступ до цих прав на одному рівні з рештою громадян України;</w:t>
      </w:r>
    </w:p>
    <w:p>
      <w:pPr>
        <w:pStyle w:val="Normal"/>
        <w:widowControl/>
        <w:numPr>
          <w:ilvl w:val="0"/>
          <w:numId w:val="3"/>
        </w:numPr>
        <w:bidi w:val="0"/>
        <w:spacing w:lineRule="auto" w:line="360" w:before="0" w:after="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 xml:space="preserve">На основі попереднього досвіду роботи з ВПО в Україні, Кластер гарантує </w:t>
      </w:r>
      <w:r>
        <w:rPr>
          <w:rFonts w:eastAsia="Calibri" w:cs="Times New Roman" w:ascii="Times New Roman" w:hAnsi="Times New Roman"/>
          <w:b/>
          <w:bCs/>
          <w:color w:val="000000" w:themeColor="text1"/>
          <w:kern w:val="0"/>
          <w:sz w:val="24"/>
          <w:szCs w:val="24"/>
          <w:u w:val="none"/>
          <w:lang w:val="uk-UA" w:eastAsia="en-US" w:bidi="ar-SA"/>
        </w:rPr>
        <w:t xml:space="preserve">інтегрування </w:t>
      </w:r>
      <w:r>
        <w:rPr>
          <w:rFonts w:cs="Times New Roman" w:ascii="Times New Roman" w:hAnsi="Times New Roman"/>
          <w:b/>
          <w:bCs/>
          <w:color w:val="000000" w:themeColor="text1"/>
          <w:sz w:val="24"/>
          <w:szCs w:val="24"/>
          <w:u w:val="none"/>
          <w:lang w:val="uk-UA"/>
        </w:rPr>
        <w:t xml:space="preserve">принципів </w:t>
      </w:r>
      <w:r>
        <w:rPr>
          <w:rFonts w:cs="Times New Roman" w:ascii="Times New Roman" w:hAnsi="Times New Roman"/>
          <w:b/>
          <w:bCs/>
          <w:color w:val="000000" w:themeColor="text1"/>
          <w:sz w:val="24"/>
          <w:szCs w:val="24"/>
          <w:u w:val="none"/>
          <w:lang w:val="en-US"/>
        </w:rPr>
        <w:t>HLP</w:t>
      </w:r>
      <w:r>
        <w:rPr>
          <w:rFonts w:cs="Times New Roman" w:ascii="Times New Roman" w:hAnsi="Times New Roman"/>
          <w:b w:val="false"/>
          <w:bCs w:val="false"/>
          <w:color w:val="000000" w:themeColor="text1"/>
          <w:sz w:val="24"/>
          <w:szCs w:val="24"/>
          <w:u w:val="none"/>
          <w:lang w:val="en-US"/>
        </w:rPr>
        <w:t xml:space="preserve"> </w:t>
      </w:r>
      <w:r>
        <w:rPr>
          <w:rFonts w:cs="Times New Roman" w:ascii="Times New Roman" w:hAnsi="Times New Roman"/>
          <w:b w:val="false"/>
          <w:bCs w:val="false"/>
          <w:color w:val="000000" w:themeColor="text1"/>
          <w:sz w:val="24"/>
          <w:szCs w:val="24"/>
          <w:u w:val="none"/>
          <w:lang w:val="uk-UA"/>
        </w:rPr>
        <w:t xml:space="preserve">у роботу партнерів Кластеру </w:t>
      </w:r>
      <w:r>
        <w:rPr>
          <w:rFonts w:cs="Times New Roman" w:ascii="Times New Roman" w:hAnsi="Times New Roman"/>
          <w:b w:val="false"/>
          <w:bCs w:val="false"/>
          <w:color w:val="000000" w:themeColor="text1"/>
          <w:sz w:val="24"/>
          <w:szCs w:val="24"/>
          <w:u w:val="none"/>
          <w:lang w:val="en-US"/>
        </w:rPr>
        <w:t xml:space="preserve">CCCM, </w:t>
      </w:r>
      <w:r>
        <w:rPr>
          <w:rFonts w:cs="Times New Roman" w:ascii="Times New Roman" w:hAnsi="Times New Roman"/>
          <w:b w:val="false"/>
          <w:bCs w:val="false"/>
          <w:color w:val="000000" w:themeColor="text1"/>
          <w:sz w:val="24"/>
          <w:szCs w:val="24"/>
          <w:u w:val="none"/>
          <w:lang w:val="uk-UA"/>
        </w:rPr>
        <w:t xml:space="preserve">а </w:t>
      </w:r>
      <w:r>
        <w:rPr>
          <w:rFonts w:eastAsia="Calibri" w:cs="Times New Roman" w:ascii="Times New Roman" w:hAnsi="Times New Roman"/>
          <w:b w:val="false"/>
          <w:bCs w:val="false"/>
          <w:color w:val="000000" w:themeColor="text1"/>
          <w:kern w:val="0"/>
          <w:sz w:val="24"/>
          <w:szCs w:val="24"/>
          <w:u w:val="none"/>
          <w:lang w:val="uk-UA" w:eastAsia="en-US" w:bidi="ar-SA"/>
        </w:rPr>
        <w:t xml:space="preserve">також працюватиме з органами державної влади на всіх рівнях, щоб для ВПО були знайдені довгострокові рішення, і щоб будь-які середньострокові проблеми, які у них можуть виникнути, були попереджені та вирішені. </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 xml:space="preserve">Структура та координаційні механізми </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ab/>
        <w:t>Роботу Кластера</w:t>
      </w:r>
      <w:r>
        <w:rPr>
          <w:rFonts w:eastAsia="Calibri" w:cs="Times New Roman" w:ascii="Times New Roman" w:hAnsi="Times New Roman"/>
          <w:b w:val="false"/>
          <w:bCs w:val="false"/>
          <w:color w:val="000000" w:themeColor="text1"/>
          <w:kern w:val="0"/>
          <w:sz w:val="24"/>
          <w:szCs w:val="24"/>
          <w:u w:val="none"/>
          <w:lang w:val="en-US" w:eastAsia="en-US" w:bidi="ar-SA"/>
        </w:rPr>
        <w:t xml:space="preserve"> CCCM</w:t>
      </w:r>
      <w:r>
        <w:rPr>
          <w:rFonts w:eastAsia="Calibri" w:cs="Times New Roman" w:ascii="Times New Roman" w:hAnsi="Times New Roman"/>
          <w:b w:val="false"/>
          <w:bCs w:val="false"/>
          <w:color w:val="000000" w:themeColor="text1"/>
          <w:kern w:val="0"/>
          <w:sz w:val="24"/>
          <w:szCs w:val="24"/>
          <w:u w:val="none"/>
          <w:lang w:val="uk-UA" w:eastAsia="en-US" w:bidi="ar-SA"/>
        </w:rPr>
        <w:t xml:space="preserve"> в Україні курує УВКБ ООН. Кластер очолюється координаційною командою, яку сформувала національна координаційна група, а також включає у себе регіональні команди, які формуватимуться в залежності від того, де  Національна гуманітарна група (</w:t>
      </w:r>
      <w:r>
        <w:rPr>
          <w:rFonts w:eastAsia="Calibri" w:cs="Times New Roman" w:ascii="Times New Roman" w:hAnsi="Times New Roman"/>
          <w:b w:val="false"/>
          <w:bCs w:val="false"/>
          <w:color w:val="000000" w:themeColor="text1"/>
          <w:kern w:val="0"/>
          <w:sz w:val="24"/>
          <w:szCs w:val="24"/>
          <w:u w:val="none"/>
          <w:lang w:val="en-US" w:eastAsia="en-US" w:bidi="ar-SA"/>
        </w:rPr>
        <w:t xml:space="preserve">HCT) </w:t>
      </w:r>
      <w:r>
        <w:rPr>
          <w:rFonts w:eastAsia="Calibri" w:cs="Times New Roman" w:ascii="Times New Roman" w:hAnsi="Times New Roman"/>
          <w:b w:val="false"/>
          <w:bCs w:val="false"/>
          <w:color w:val="000000" w:themeColor="text1"/>
          <w:kern w:val="0"/>
          <w:sz w:val="24"/>
          <w:szCs w:val="24"/>
          <w:u w:val="none"/>
          <w:lang w:val="uk-UA" w:eastAsia="en-US" w:bidi="ar-SA"/>
        </w:rPr>
        <w:t xml:space="preserve">вирішить розташувати координаційні хаби, і як розвиватиметься співпраця на місцях, де компактно проживають ВПО. </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ab/>
        <w:t xml:space="preserve">Партнерами Кластеру </w:t>
      </w:r>
      <w:r>
        <w:rPr>
          <w:rFonts w:eastAsia="Calibri" w:cs="Times New Roman" w:ascii="Times New Roman" w:hAnsi="Times New Roman"/>
          <w:b w:val="false"/>
          <w:bCs w:val="false"/>
          <w:color w:val="000000" w:themeColor="text1"/>
          <w:kern w:val="0"/>
          <w:sz w:val="24"/>
          <w:szCs w:val="24"/>
          <w:u w:val="none"/>
          <w:lang w:val="en-US" w:eastAsia="en-US" w:bidi="ar-SA"/>
        </w:rPr>
        <w:t xml:space="preserve">CCCM </w:t>
      </w:r>
      <w:r>
        <w:rPr>
          <w:rFonts w:eastAsia="Calibri" w:cs="Times New Roman" w:ascii="Times New Roman" w:hAnsi="Times New Roman"/>
          <w:b w:val="false"/>
          <w:bCs w:val="false"/>
          <w:color w:val="000000" w:themeColor="text1"/>
          <w:kern w:val="0"/>
          <w:sz w:val="24"/>
          <w:szCs w:val="24"/>
          <w:u w:val="none"/>
          <w:lang w:val="uk-UA" w:eastAsia="en-US" w:bidi="ar-SA"/>
        </w:rPr>
        <w:t xml:space="preserve">є державні органи влади, які відповідають за розміщення ВПО. На національному рівні: Міністерство регіонального розвитку, Міністерство стратегічної промисловості, Міністерство соціальної політики (у питаннях надання послуг) і, звісно, Міністерство реінтеграції. На регіональному рівні: керівництво областей та гуманітарні групи. На місцевому рівні це здебільшого міські ради. Крім того, Кластер посилюватиме співпрацю з місцевими органами влади, неурядовими громадськими організаціями, приймаючими громадами, представниками громадянського суспільства з метою їхнього залучення до роботи. </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ab/>
        <w:t>Буде створена Стратегічна консультативна рада (</w:t>
      </w:r>
      <w:r>
        <w:rPr>
          <w:rFonts w:eastAsia="Calibri" w:cs="Times New Roman" w:ascii="Times New Roman" w:hAnsi="Times New Roman"/>
          <w:b w:val="false"/>
          <w:bCs w:val="false"/>
          <w:color w:val="000000" w:themeColor="text1"/>
          <w:kern w:val="0"/>
          <w:sz w:val="24"/>
          <w:szCs w:val="24"/>
          <w:u w:val="none"/>
          <w:lang w:val="en-US" w:eastAsia="en-US" w:bidi="ar-SA"/>
        </w:rPr>
        <w:t xml:space="preserve">SAG) </w:t>
      </w:r>
      <w:r>
        <w:rPr>
          <w:rFonts w:eastAsia="Calibri" w:cs="Times New Roman" w:ascii="Times New Roman" w:hAnsi="Times New Roman"/>
          <w:b w:val="false"/>
          <w:bCs w:val="false"/>
          <w:color w:val="000000" w:themeColor="text1"/>
          <w:kern w:val="0"/>
          <w:sz w:val="24"/>
          <w:szCs w:val="24"/>
          <w:u w:val="none"/>
          <w:lang w:val="uk-UA" w:eastAsia="en-US" w:bidi="ar-SA"/>
        </w:rPr>
        <w:t xml:space="preserve">у якості платформи на національному рівні, що буде надавати стратегічні рекомендації і приймати ключові стратегічні рішення стосовно діяльності Кластеру </w:t>
      </w:r>
      <w:r>
        <w:rPr>
          <w:rFonts w:eastAsia="Calibri" w:cs="Times New Roman" w:ascii="Times New Roman" w:hAnsi="Times New Roman"/>
          <w:b w:val="false"/>
          <w:bCs w:val="false"/>
          <w:color w:val="000000" w:themeColor="text1"/>
          <w:kern w:val="0"/>
          <w:sz w:val="24"/>
          <w:szCs w:val="24"/>
          <w:u w:val="none"/>
          <w:lang w:val="en-US" w:eastAsia="en-US" w:bidi="ar-SA"/>
        </w:rPr>
        <w:t xml:space="preserve">CCCM </w:t>
      </w:r>
      <w:r>
        <w:rPr>
          <w:rFonts w:eastAsia="Calibri" w:cs="Times New Roman" w:ascii="Times New Roman" w:hAnsi="Times New Roman"/>
          <w:b w:val="false"/>
          <w:bCs w:val="false"/>
          <w:color w:val="000000" w:themeColor="text1"/>
          <w:kern w:val="0"/>
          <w:sz w:val="24"/>
          <w:szCs w:val="24"/>
          <w:u w:val="none"/>
          <w:lang w:val="uk-UA" w:eastAsia="en-US" w:bidi="ar-SA"/>
        </w:rPr>
        <w:t xml:space="preserve">на національному рівні. За погодженням із партнерами, ця рада буде призначена Координаційною командою Кластеру, у яку входять головні партнери, що приймають рішення. Окреме технічне завдання буде сформовано для </w:t>
      </w:r>
      <w:r>
        <w:rPr>
          <w:rFonts w:eastAsia="Calibri" w:cs="Times New Roman" w:ascii="Times New Roman" w:hAnsi="Times New Roman"/>
          <w:b w:val="false"/>
          <w:bCs w:val="false"/>
          <w:color w:val="000000" w:themeColor="text1"/>
          <w:kern w:val="0"/>
          <w:sz w:val="24"/>
          <w:szCs w:val="24"/>
          <w:u w:val="none"/>
          <w:lang w:val="en-US" w:eastAsia="en-US" w:bidi="ar-SA"/>
        </w:rPr>
        <w:t xml:space="preserve">SAG. </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en-US" w:eastAsia="en-US" w:bidi="ar-SA"/>
        </w:rPr>
        <w:tab/>
      </w:r>
      <w:r>
        <w:rPr>
          <w:rFonts w:eastAsia="Calibri" w:cs="Times New Roman" w:ascii="Times New Roman" w:hAnsi="Times New Roman"/>
          <w:b w:val="false"/>
          <w:bCs w:val="false"/>
          <w:color w:val="000000" w:themeColor="text1"/>
          <w:kern w:val="0"/>
          <w:sz w:val="24"/>
          <w:szCs w:val="24"/>
          <w:u w:val="none"/>
          <w:lang w:val="uk-UA" w:eastAsia="en-US" w:bidi="ar-SA"/>
        </w:rPr>
        <w:t xml:space="preserve">Функції координації будуть здійснюватиметься через регулярні зустрічі (щотижня, поки ситуація лишається складною) усіх членів Кластеру. Задля кращої координації роботи на місцевому рівні Координатор Кластеру може прийняти рішення проводити зустрічі на місцях. </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ab/>
        <w:t>Члени Кластеру можуть приймати рішення формувати робочі групи для вирішення конкретних проблем, пов’язаних із розробкою технічних завдань, плануванням запобіжних заходів, корегуванням стратегії, адаптації завдань під місцеві реалії тощо. Представник Кластеру бере участь у роботі зовнішніх робочих груп, які обговорюють і приймають рішення щодо комплексних проблем. Наприклад, такі групи як Група з питань відповідальності перед постраждалим населенням (</w:t>
      </w:r>
      <w:r>
        <w:rPr>
          <w:rFonts w:eastAsia="Calibri" w:cs="Times New Roman" w:ascii="Times New Roman" w:hAnsi="Times New Roman"/>
          <w:b w:val="false"/>
          <w:bCs w:val="false"/>
          <w:color w:val="000000" w:themeColor="text1"/>
          <w:kern w:val="0"/>
          <w:sz w:val="24"/>
          <w:szCs w:val="24"/>
          <w:u w:val="none"/>
          <w:lang w:val="en-US" w:eastAsia="en-US" w:bidi="ar-SA"/>
        </w:rPr>
        <w:t xml:space="preserve">AAP), </w:t>
      </w:r>
      <w:r>
        <w:rPr>
          <w:rFonts w:eastAsia="Calibri" w:cs="Times New Roman" w:ascii="Times New Roman" w:hAnsi="Times New Roman"/>
          <w:b w:val="false"/>
          <w:bCs w:val="false"/>
          <w:color w:val="000000" w:themeColor="text1"/>
          <w:kern w:val="0"/>
          <w:sz w:val="24"/>
          <w:szCs w:val="24"/>
          <w:u w:val="none"/>
          <w:lang w:val="uk-UA" w:eastAsia="en-US" w:bidi="ar-SA"/>
        </w:rPr>
        <w:t>Технічна робоча група у Кластері з питань захисту щодо програм “Житла, планування і власності” (</w:t>
      </w:r>
      <w:r>
        <w:rPr>
          <w:rFonts w:eastAsia="Calibri" w:cs="Times New Roman" w:ascii="Times New Roman" w:hAnsi="Times New Roman"/>
          <w:b w:val="false"/>
          <w:bCs w:val="false"/>
          <w:color w:val="000000" w:themeColor="text1"/>
          <w:kern w:val="0"/>
          <w:sz w:val="24"/>
          <w:szCs w:val="24"/>
          <w:u w:val="none"/>
          <w:lang w:val="en-US" w:eastAsia="en-US" w:bidi="ar-SA"/>
        </w:rPr>
        <w:t xml:space="preserve">HLP), </w:t>
      </w:r>
      <w:r>
        <w:rPr>
          <w:rFonts w:eastAsia="Calibri" w:cs="Times New Roman" w:ascii="Times New Roman" w:hAnsi="Times New Roman"/>
          <w:b w:val="false"/>
          <w:bCs w:val="false"/>
          <w:color w:val="000000" w:themeColor="text1"/>
          <w:kern w:val="0"/>
          <w:sz w:val="24"/>
          <w:szCs w:val="24"/>
          <w:u w:val="none"/>
          <w:lang w:val="uk-UA" w:eastAsia="en-US" w:bidi="ar-SA"/>
        </w:rPr>
        <w:t xml:space="preserve">Робоча група </w:t>
      </w:r>
      <w:r>
        <w:rPr>
          <w:rFonts w:eastAsia="Calibri" w:cs="Times New Roman" w:ascii="Times New Roman" w:hAnsi="Times New Roman"/>
          <w:b w:val="false"/>
          <w:bCs w:val="false"/>
          <w:color w:val="000000" w:themeColor="text1"/>
          <w:kern w:val="0"/>
          <w:sz w:val="24"/>
          <w:szCs w:val="24"/>
          <w:u w:val="none"/>
          <w:lang w:val="en-US" w:eastAsia="en-US" w:bidi="ar-SA"/>
        </w:rPr>
        <w:t xml:space="preserve">OCHA </w:t>
      </w:r>
      <w:r>
        <w:rPr>
          <w:rFonts w:eastAsia="Calibri" w:cs="Times New Roman" w:ascii="Times New Roman" w:hAnsi="Times New Roman"/>
          <w:b w:val="false"/>
          <w:bCs w:val="false"/>
          <w:color w:val="000000" w:themeColor="text1"/>
          <w:kern w:val="0"/>
          <w:sz w:val="24"/>
          <w:szCs w:val="24"/>
          <w:u w:val="none"/>
          <w:lang w:val="uk-UA" w:eastAsia="en-US" w:bidi="ar-SA"/>
        </w:rPr>
        <w:t xml:space="preserve">з питань запобігання гендерної експлуатації і насилля, Робоча група з питань неповнолітніх та осіб похилого віку тощо. </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bCs/>
          <w:color w:val="000000" w:themeColor="text1"/>
          <w:kern w:val="0"/>
          <w:sz w:val="28"/>
          <w:szCs w:val="28"/>
          <w:u w:val="none"/>
          <w:lang w:val="uk-UA" w:eastAsia="en-US" w:bidi="ar-SA"/>
        </w:rPr>
        <w:t xml:space="preserve">Членство </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ab/>
        <w:t>Членство у Кластері передбачає взяття на себе наступних зобов’язань:</w:t>
      </w:r>
    </w:p>
    <w:p>
      <w:pPr>
        <w:pStyle w:val="Normal"/>
        <w:widowControl/>
        <w:numPr>
          <w:ilvl w:val="0"/>
          <w:numId w:val="4"/>
        </w:numPr>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Регулярна відвідуваність та активна участь у зустрічах Кластеру;</w:t>
      </w:r>
    </w:p>
    <w:p>
      <w:pPr>
        <w:pStyle w:val="Normal"/>
        <w:widowControl/>
        <w:numPr>
          <w:ilvl w:val="0"/>
          <w:numId w:val="4"/>
        </w:numPr>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 xml:space="preserve">Подання щомісячних звітів у звітні системи Кластеру у випадку, якщо </w:t>
      </w:r>
      <w:r>
        <w:rPr>
          <w:rFonts w:eastAsia="Calibri" w:cs="Times New Roman" w:ascii="Times New Roman" w:hAnsi="Times New Roman"/>
          <w:b w:val="false"/>
          <w:bCs w:val="false"/>
          <w:color w:val="000000" w:themeColor="text1"/>
          <w:kern w:val="0"/>
          <w:sz w:val="24"/>
          <w:szCs w:val="24"/>
          <w:u w:val="none"/>
          <w:lang w:val="en-US" w:eastAsia="en-US" w:bidi="ar-SA"/>
        </w:rPr>
        <w:t xml:space="preserve">CCCM </w:t>
      </w:r>
      <w:r>
        <w:rPr>
          <w:rFonts w:eastAsia="Calibri" w:cs="Times New Roman" w:ascii="Times New Roman" w:hAnsi="Times New Roman"/>
          <w:b w:val="false"/>
          <w:bCs w:val="false"/>
          <w:color w:val="000000" w:themeColor="text1"/>
          <w:kern w:val="0"/>
          <w:sz w:val="24"/>
          <w:szCs w:val="24"/>
          <w:u w:val="none"/>
          <w:lang w:val="uk-UA" w:eastAsia="en-US" w:bidi="ar-SA"/>
        </w:rPr>
        <w:t>запускає безпосередню діяльність;</w:t>
      </w:r>
    </w:p>
    <w:p>
      <w:pPr>
        <w:pStyle w:val="Normal"/>
        <w:widowControl/>
        <w:numPr>
          <w:ilvl w:val="0"/>
          <w:numId w:val="4"/>
        </w:numPr>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Дотримання узгоджених інструкцій, правил, принципів, пріоритетів і стандартів, а також стратегії кластеру (включаючи Принципи партнерства та Принципи захисту, виписані в Гуманітарному Статуті);</w:t>
      </w:r>
    </w:p>
    <w:p>
      <w:pPr>
        <w:pStyle w:val="Normal"/>
        <w:widowControl/>
        <w:numPr>
          <w:ilvl w:val="0"/>
          <w:numId w:val="4"/>
        </w:numPr>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 xml:space="preserve">Участь у плануванні заходів Кластеру </w:t>
      </w:r>
      <w:r>
        <w:rPr>
          <w:rFonts w:eastAsia="Calibri" w:cs="Times New Roman" w:ascii="Times New Roman" w:hAnsi="Times New Roman"/>
          <w:b w:val="false"/>
          <w:bCs w:val="false"/>
          <w:color w:val="000000" w:themeColor="text1"/>
          <w:kern w:val="0"/>
          <w:sz w:val="24"/>
          <w:szCs w:val="24"/>
          <w:u w:val="none"/>
          <w:lang w:val="en-US" w:eastAsia="en-US" w:bidi="ar-SA"/>
        </w:rPr>
        <w:t xml:space="preserve">CCCM, </w:t>
      </w:r>
      <w:r>
        <w:rPr>
          <w:rFonts w:eastAsia="Calibri" w:cs="Times New Roman" w:ascii="Times New Roman" w:hAnsi="Times New Roman"/>
          <w:b w:val="false"/>
          <w:bCs w:val="false"/>
          <w:color w:val="000000" w:themeColor="text1"/>
          <w:kern w:val="0"/>
          <w:sz w:val="24"/>
          <w:szCs w:val="24"/>
          <w:u w:val="none"/>
          <w:lang w:val="uk-UA" w:eastAsia="en-US" w:bidi="ar-SA"/>
        </w:rPr>
        <w:t>їхньої імплементації, в тому числі участь у діяльності робочих груп відповідно до сфери експертизи, мандату та операції.</w:t>
      </w:r>
    </w:p>
    <w:p>
      <w:pPr>
        <w:pStyle w:val="Normal"/>
        <w:widowControl/>
        <w:bidi w:val="0"/>
        <w:spacing w:lineRule="auto" w:line="360" w:before="0" w:after="0"/>
        <w:jc w:val="both"/>
        <w:rPr>
          <w:rFonts w:ascii="Times New Roman" w:hAnsi="Times New Roman" w:cs="Times New Roman"/>
          <w:b/>
          <w:b/>
          <w:bCs/>
          <w:color w:val="000000" w:themeColor="text1"/>
          <w:sz w:val="28"/>
          <w:szCs w:val="28"/>
          <w:u w:val="single"/>
        </w:rPr>
      </w:pPr>
      <w:r>
        <w:rPr>
          <w:rFonts w:eastAsia="Calibri" w:cs="Times New Roman" w:ascii="Times New Roman" w:hAnsi="Times New Roman"/>
          <w:b w:val="false"/>
          <w:bCs w:val="false"/>
          <w:color w:val="000000" w:themeColor="text1"/>
          <w:kern w:val="0"/>
          <w:sz w:val="24"/>
          <w:szCs w:val="24"/>
          <w:u w:val="none"/>
          <w:lang w:val="uk-UA" w:eastAsia="en-US" w:bidi="ar-SA"/>
        </w:rPr>
        <w:tab/>
        <w:t xml:space="preserve">Організації, які зацікавлені у тому, щоб стати членами Кластеру </w:t>
      </w:r>
      <w:r>
        <w:rPr>
          <w:rFonts w:eastAsia="Calibri" w:cs="Times New Roman" w:ascii="Times New Roman" w:hAnsi="Times New Roman"/>
          <w:b w:val="false"/>
          <w:bCs w:val="false"/>
          <w:color w:val="000000" w:themeColor="text1"/>
          <w:kern w:val="0"/>
          <w:sz w:val="24"/>
          <w:szCs w:val="24"/>
          <w:u w:val="none"/>
          <w:lang w:val="en-US" w:eastAsia="en-US" w:bidi="ar-SA"/>
        </w:rPr>
        <w:t xml:space="preserve">CCCM, </w:t>
      </w:r>
      <w:r>
        <w:rPr>
          <w:rFonts w:eastAsia="Calibri" w:cs="Times New Roman" w:ascii="Times New Roman" w:hAnsi="Times New Roman"/>
          <w:b w:val="false"/>
          <w:bCs w:val="false"/>
          <w:color w:val="000000" w:themeColor="text1"/>
          <w:kern w:val="0"/>
          <w:sz w:val="24"/>
          <w:szCs w:val="24"/>
          <w:u w:val="none"/>
          <w:lang w:val="uk-UA" w:eastAsia="en-US" w:bidi="ar-SA"/>
        </w:rPr>
        <w:t xml:space="preserve">можуть </w:t>
      </w:r>
      <w:r>
        <w:rPr>
          <w:rFonts w:eastAsia="Calibri" w:cs="Times New Roman" w:ascii="Times New Roman" w:hAnsi="Times New Roman"/>
          <w:b w:val="false"/>
          <w:bCs w:val="false"/>
          <w:color w:val="000000" w:themeColor="text1"/>
          <w:kern w:val="0"/>
          <w:sz w:val="24"/>
          <w:szCs w:val="24"/>
          <w:u w:val="none"/>
          <w:lang w:val="uk-UA" w:eastAsia="en-US" w:bidi="ar-SA"/>
        </w:rPr>
        <w:t xml:space="preserve">підписатися на нашу розсилку: </w:t>
      </w:r>
      <w:hyperlink r:id="rId2">
        <w:r>
          <w:rPr>
            <w:rFonts w:eastAsia="Calibri" w:cs="Times New Roman" w:ascii="Times New Roman" w:hAnsi="Times New Roman"/>
            <w:b w:val="false"/>
            <w:bCs w:val="false"/>
            <w:color w:val="000000" w:themeColor="text1"/>
            <w:kern w:val="0"/>
            <w:sz w:val="24"/>
            <w:szCs w:val="24"/>
            <w:u w:val="none"/>
            <w:lang w:val="uk-UA" w:eastAsia="en-US" w:bidi="ar-SA"/>
          </w:rPr>
          <w:t>CCCM Cluster Ukraine (list-manage.com)</w:t>
        </w:r>
      </w:hyperlink>
      <w:r>
        <w:rPr>
          <w:rFonts w:eastAsia="Calibri" w:cs="Times New Roman" w:ascii="Times New Roman" w:hAnsi="Times New Roman"/>
          <w:b w:val="false"/>
          <w:bCs w:val="false"/>
          <w:color w:val="000000" w:themeColor="text1"/>
          <w:kern w:val="0"/>
          <w:sz w:val="24"/>
          <w:szCs w:val="24"/>
          <w:u w:val="none"/>
          <w:lang w:val="uk-UA" w:eastAsia="en-US" w:bidi="ar-SA"/>
        </w:rPr>
        <w:t xml:space="preserve"> </w:t>
      </w:r>
    </w:p>
    <w:p>
      <w:pPr>
        <w:pStyle w:val="Normal"/>
        <w:widowControl/>
        <w:bidi w:val="0"/>
        <w:spacing w:lineRule="auto" w:line="360" w:before="0" w:after="0"/>
        <w:ind w:left="0" w:right="850" w:hanging="0"/>
        <w:jc w:val="both"/>
        <w:rPr>
          <w:rFonts w:ascii="Times New Roman" w:hAnsi="Times New Roman" w:cs="Times New Roman"/>
          <w:b/>
          <w:b/>
          <w:bCs/>
          <w:color w:val="000000" w:themeColor="text1"/>
          <w:sz w:val="28"/>
          <w:szCs w:val="28"/>
          <w:u w:val="single"/>
        </w:rPr>
      </w:pPr>
      <w:r>
        <w:rPr>
          <w:rFonts w:cs="Times New Roman" w:ascii="Times New Roman" w:hAnsi="Times New Roman"/>
          <w:b w:val="false"/>
          <w:bCs w:val="false"/>
          <w:color w:val="000000" w:themeColor="text1"/>
          <w:sz w:val="24"/>
          <w:szCs w:val="24"/>
          <w:u w:val="none"/>
          <w:lang w:val="uk-UA"/>
        </w:rPr>
        <w:tab/>
      </w:r>
    </w:p>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Segoe UI">
    <w:charset w:val="cc"/>
    <w:family w:val="roman"/>
    <w:pitch w:val="variable"/>
  </w:font>
  <w:font w:name="Consola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Peterburg">
    <w:charset w:val="cc"/>
    <w:family w:val="roman"/>
    <w:pitch w:val="variable"/>
  </w:font>
  <w:font w:name="Times New Roman">
    <w:charset w:val="cc"/>
    <w:family w:val="roman"/>
    <w:pitch w:val="variable"/>
  </w:font>
  <w:font w:name="Arial">
    <w:charset w:val="cc"/>
    <w:family w:val="roman"/>
    <w:pitch w:val="variable"/>
  </w:font>
  <w:font w:name="Noto Sans">
    <w:charset w:val="cc"/>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9"/>
        <w:rPr/>
      </w:pPr>
      <w:r>
        <w:rPr>
          <w:rStyle w:val="Style21"/>
        </w:rPr>
        <w:footnoteRef/>
      </w:r>
      <w:hyperlink r:id="rId1">
        <w:r>
          <w:rPr/>
          <w:t>Minimum Standards for Camp Management | CCCM Cluster</w:t>
        </w:r>
      </w:hyperlink>
      <w:r>
        <w:rPr/>
        <w:t xml:space="preserve">  </w:t>
      </w:r>
    </w:p>
  </w:footnote>
  <w:footnote w:id="3">
    <w:p>
      <w:pPr>
        <w:pStyle w:val="Style29"/>
        <w:rPr/>
      </w:pPr>
      <w:r>
        <w:rPr>
          <w:rStyle w:val="Style21"/>
        </w:rPr>
        <w:footnoteRef/>
      </w:r>
      <w:hyperlink r:id="rId2">
        <w:r>
          <w:rPr/>
          <w:t>A global community committed to humanitarian quality and accountability. | Sphere (spherestandards.org)</w:t>
        </w:r>
      </w:hyperlink>
      <w:r>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b26dff"/>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0"/>
    <w:uiPriority w:val="9"/>
    <w:semiHidden/>
    <w:unhideWhenUsed/>
    <w:qFormat/>
    <w:rsid w:val="008f7717"/>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unhideWhenUsed/>
    <w:qFormat/>
    <w:rPr/>
  </w:style>
  <w:style w:type="character" w:styleId="Style12" w:customStyle="1">
    <w:name w:val="Текст сноски Знак"/>
    <w:basedOn w:val="DefaultParagraphFont"/>
    <w:uiPriority w:val="99"/>
    <w:qFormat/>
    <w:rsid w:val="00ea632c"/>
    <w:rPr>
      <w:rFonts w:eastAsia="" w:eastAsiaTheme="minorEastAsia"/>
      <w:sz w:val="20"/>
      <w:szCs w:val="20"/>
      <w:lang w:eastAsia="zh-CN"/>
    </w:rPr>
  </w:style>
  <w:style w:type="character" w:styleId="Style13" w:customStyle="1">
    <w:name w:val="Прив'язка виноски"/>
    <w:rPr>
      <w:vertAlign w:val="superscript"/>
    </w:rPr>
  </w:style>
  <w:style w:type="character" w:styleId="FootnoteCharacters" w:customStyle="1">
    <w:name w:val="Footnote Characters"/>
    <w:basedOn w:val="DefaultParagraphFont"/>
    <w:uiPriority w:val="99"/>
    <w:semiHidden/>
    <w:unhideWhenUsed/>
    <w:qFormat/>
    <w:rsid w:val="00ea632c"/>
    <w:rPr>
      <w:vertAlign w:val="superscript"/>
    </w:rPr>
  </w:style>
  <w:style w:type="character" w:styleId="A3" w:customStyle="1">
    <w:name w:val="A3"/>
    <w:uiPriority w:val="99"/>
    <w:qFormat/>
    <w:rsid w:val="000f7283"/>
    <w:rPr>
      <w:rFonts w:cs="Peterburg"/>
      <w:color w:val="211D1E"/>
      <w:sz w:val="12"/>
      <w:szCs w:val="12"/>
    </w:rPr>
  </w:style>
  <w:style w:type="character" w:styleId="Style14">
    <w:name w:val="Гіперпосилання"/>
    <w:basedOn w:val="DefaultParagraphFont"/>
    <w:uiPriority w:val="99"/>
    <w:unhideWhenUsed/>
    <w:rsid w:val="004e4ebc"/>
    <w:rPr>
      <w:color w:val="0563C1" w:themeColor="hyperlink"/>
      <w:u w:val="single"/>
    </w:rPr>
  </w:style>
  <w:style w:type="character" w:styleId="Annotationreference">
    <w:name w:val="annotation reference"/>
    <w:basedOn w:val="DefaultParagraphFont"/>
    <w:uiPriority w:val="99"/>
    <w:semiHidden/>
    <w:unhideWhenUsed/>
    <w:qFormat/>
    <w:rsid w:val="005f1375"/>
    <w:rPr>
      <w:sz w:val="16"/>
      <w:szCs w:val="16"/>
    </w:rPr>
  </w:style>
  <w:style w:type="character" w:styleId="Style15" w:customStyle="1">
    <w:name w:val="Текст примечания Знак"/>
    <w:basedOn w:val="DefaultParagraphFont"/>
    <w:uiPriority w:val="99"/>
    <w:semiHidden/>
    <w:qFormat/>
    <w:rsid w:val="005f1375"/>
    <w:rPr>
      <w:sz w:val="20"/>
      <w:szCs w:val="20"/>
    </w:rPr>
  </w:style>
  <w:style w:type="character" w:styleId="Style16" w:customStyle="1">
    <w:name w:val="Тема примечания Знак"/>
    <w:basedOn w:val="Style15"/>
    <w:uiPriority w:val="99"/>
    <w:semiHidden/>
    <w:qFormat/>
    <w:rsid w:val="005f1375"/>
    <w:rPr>
      <w:b/>
      <w:bCs/>
      <w:sz w:val="20"/>
      <w:szCs w:val="20"/>
    </w:rPr>
  </w:style>
  <w:style w:type="character" w:styleId="Style17" w:customStyle="1">
    <w:name w:val="Текст выноски Знак"/>
    <w:basedOn w:val="DefaultParagraphFont"/>
    <w:uiPriority w:val="99"/>
    <w:semiHidden/>
    <w:qFormat/>
    <w:rsid w:val="005f1375"/>
    <w:rPr>
      <w:rFonts w:ascii="Segoe UI" w:hAnsi="Segoe UI" w:cs="Segoe UI"/>
      <w:sz w:val="18"/>
      <w:szCs w:val="18"/>
    </w:rPr>
  </w:style>
  <w:style w:type="character" w:styleId="11" w:customStyle="1">
    <w:name w:val="Заголовок 1 Знак"/>
    <w:basedOn w:val="DefaultParagraphFont"/>
    <w:link w:val="1"/>
    <w:uiPriority w:val="9"/>
    <w:qFormat/>
    <w:rsid w:val="00b26dff"/>
    <w:rPr>
      <w:rFonts w:ascii="Calibri Light" w:hAnsi="Calibri Light" w:eastAsia="" w:cs="" w:asciiTheme="majorHAnsi" w:cstheme="majorBidi" w:eastAsiaTheme="majorEastAsia" w:hAnsiTheme="majorHAnsi"/>
      <w:color w:val="2E74B5" w:themeColor="accent1" w:themeShade="bf"/>
      <w:sz w:val="32"/>
      <w:szCs w:val="32"/>
    </w:rPr>
  </w:style>
  <w:style w:type="character" w:styleId="HTML" w:customStyle="1">
    <w:name w:val="Стандартный HTML Знак"/>
    <w:basedOn w:val="DefaultParagraphFont"/>
    <w:link w:val="HTML"/>
    <w:uiPriority w:val="99"/>
    <w:semiHidden/>
    <w:qFormat/>
    <w:rsid w:val="00712678"/>
    <w:rPr>
      <w:rFonts w:ascii="Consolas" w:hAnsi="Consolas" w:cs="Consolas"/>
      <w:sz w:val="20"/>
      <w:szCs w:val="20"/>
    </w:rPr>
  </w:style>
  <w:style w:type="character" w:styleId="21" w:customStyle="1">
    <w:name w:val="Заголовок 2 Знак"/>
    <w:basedOn w:val="DefaultParagraphFont"/>
    <w:link w:val="2"/>
    <w:uiPriority w:val="9"/>
    <w:semiHidden/>
    <w:qFormat/>
    <w:rsid w:val="008f7717"/>
    <w:rPr>
      <w:rFonts w:ascii="Calibri Light" w:hAnsi="Calibri Light" w:eastAsia="" w:cs="" w:asciiTheme="majorHAnsi" w:cstheme="majorBidi" w:eastAsiaTheme="majorEastAsia" w:hAnsiTheme="majorHAnsi"/>
      <w:color w:val="2E74B5" w:themeColor="accent1" w:themeShade="bf"/>
      <w:sz w:val="26"/>
      <w:szCs w:val="26"/>
    </w:rPr>
  </w:style>
  <w:style w:type="character" w:styleId="Style18">
    <w:name w:val="Символ нумерації"/>
    <w:qFormat/>
    <w:rPr/>
  </w:style>
  <w:style w:type="character" w:styleId="Style19">
    <w:name w:val="Маркери списку"/>
    <w:qFormat/>
    <w:rPr>
      <w:rFonts w:ascii="OpenSymbol" w:hAnsi="OpenSymbol" w:eastAsia="OpenSymbol" w:cs="OpenSymbol"/>
    </w:rPr>
  </w:style>
  <w:style w:type="character" w:styleId="Style20">
    <w:name w:val="Виділення"/>
    <w:qFormat/>
    <w:rPr>
      <w:i/>
      <w:iCs/>
    </w:rPr>
  </w:style>
  <w:style w:type="character" w:styleId="Style21">
    <w:name w:val="Символи виноски"/>
    <w:qFormat/>
    <w:rPr/>
  </w:style>
  <w:style w:type="character" w:styleId="Style22">
    <w:name w:val="Прив'язка кінцевої виноски"/>
    <w:rPr>
      <w:vertAlign w:val="superscript"/>
    </w:rPr>
  </w:style>
  <w:style w:type="character" w:styleId="Style23">
    <w:name w:val="Символи кінцевої виноски"/>
    <w:qFormat/>
    <w:rPr/>
  </w:style>
  <w:style w:type="paragraph" w:styleId="Style24" w:customStyle="1">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9">
    <w:name w:val="Footnote Text"/>
    <w:basedOn w:val="Normal"/>
    <w:uiPriority w:val="99"/>
    <w:unhideWhenUsed/>
    <w:rsid w:val="00ea632c"/>
    <w:pPr>
      <w:spacing w:lineRule="auto" w:line="240" w:before="0" w:after="0"/>
    </w:pPr>
    <w:rPr>
      <w:rFonts w:eastAsia="" w:eastAsiaTheme="minorEastAsia"/>
      <w:sz w:val="20"/>
      <w:szCs w:val="20"/>
      <w:lang w:eastAsia="zh-CN"/>
    </w:rPr>
  </w:style>
  <w:style w:type="paragraph" w:styleId="Default" w:customStyle="1">
    <w:name w:val="Default"/>
    <w:qFormat/>
    <w:rsid w:val="000f7283"/>
    <w:pPr>
      <w:widowControl/>
      <w:bidi w:val="0"/>
      <w:spacing w:before="0" w:after="0"/>
      <w:jc w:val="left"/>
    </w:pPr>
    <w:rPr>
      <w:rFonts w:ascii="Peterburg" w:hAnsi="Peterburg" w:eastAsia="" w:cs="Peterburg" w:eastAsiaTheme="minorEastAsia"/>
      <w:color w:val="000000"/>
      <w:kern w:val="0"/>
      <w:sz w:val="24"/>
      <w:szCs w:val="24"/>
      <w:lang w:val="ru-RU" w:eastAsia="zh-CN" w:bidi="ar-SA"/>
    </w:rPr>
  </w:style>
  <w:style w:type="paragraph" w:styleId="NormalWeb">
    <w:name w:val="Normal (Web)"/>
    <w:basedOn w:val="Normal"/>
    <w:uiPriority w:val="99"/>
    <w:semiHidden/>
    <w:unhideWhenUsed/>
    <w:qFormat/>
    <w:rsid w:val="00020204"/>
    <w:pPr/>
    <w:rPr>
      <w:rFonts w:ascii="Times New Roman" w:hAnsi="Times New Roman" w:cs="Times New Roman"/>
      <w:sz w:val="24"/>
      <w:szCs w:val="24"/>
    </w:rPr>
  </w:style>
  <w:style w:type="paragraph" w:styleId="Annotationtext">
    <w:name w:val="annotation text"/>
    <w:basedOn w:val="Normal"/>
    <w:uiPriority w:val="99"/>
    <w:semiHidden/>
    <w:unhideWhenUsed/>
    <w:qFormat/>
    <w:rsid w:val="005f1375"/>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5f1375"/>
    <w:pPr/>
    <w:rPr>
      <w:b/>
      <w:bCs/>
    </w:rPr>
  </w:style>
  <w:style w:type="paragraph" w:styleId="BalloonText">
    <w:name w:val="Balloon Text"/>
    <w:basedOn w:val="Normal"/>
    <w:uiPriority w:val="99"/>
    <w:semiHidden/>
    <w:unhideWhenUsed/>
    <w:qFormat/>
    <w:rsid w:val="005f1375"/>
    <w:pPr>
      <w:spacing w:lineRule="auto" w:line="240" w:before="0" w:after="0"/>
    </w:pPr>
    <w:rPr>
      <w:rFonts w:ascii="Segoe UI" w:hAnsi="Segoe UI" w:cs="Segoe UI"/>
      <w:sz w:val="18"/>
      <w:szCs w:val="18"/>
    </w:rPr>
  </w:style>
  <w:style w:type="paragraph" w:styleId="HTMLPreformatted">
    <w:name w:val="HTML Preformatted"/>
    <w:basedOn w:val="Normal"/>
    <w:uiPriority w:val="99"/>
    <w:semiHidden/>
    <w:unhideWhenUsed/>
    <w:qFormat/>
    <w:rsid w:val="00712678"/>
    <w:pPr>
      <w:spacing w:lineRule="auto" w:line="240" w:before="0" w:after="0"/>
    </w:pPr>
    <w:rPr>
      <w:rFonts w:ascii="Consolas" w:hAnsi="Consolas" w:cs="Consolas"/>
      <w:sz w:val="20"/>
      <w:szCs w:val="20"/>
    </w:rPr>
  </w:style>
  <w:style w:type="paragraph" w:styleId="Style30">
    <w:name w:val="Вміст таблиці"/>
    <w:basedOn w:val="Normal"/>
    <w:qFormat/>
    <w:pPr>
      <w:suppressLineNumbers/>
    </w:pPr>
    <w:rPr/>
  </w:style>
  <w:style w:type="paragraph" w:styleId="Style31">
    <w:name w:val="Табліца, змесціва"/>
    <w:basedOn w:val="Normal"/>
    <w:qFormat/>
    <w:pPr/>
    <w:rPr/>
  </w:style>
  <w:style w:type="paragraph" w:styleId="ListParagraph">
    <w:name w:val="List Paragraph"/>
    <w:basedOn w:val="Normal"/>
    <w:qFormat/>
    <w:pPr>
      <w:spacing w:before="0" w:after="160"/>
      <w:ind w:left="720" w:hanging="0"/>
      <w:contextualSpacing/>
    </w:pPr>
    <w:rPr/>
  </w:style>
  <w:style w:type="paragraph" w:styleId="Style32">
    <w:name w:val="Звичайний"/>
    <w:qFormat/>
    <w:pPr>
      <w:widowControl/>
      <w:bidi w:val="0"/>
      <w:spacing w:lineRule="atLeast" w:line="200" w:before="0" w:after="0"/>
      <w:jc w:val="left"/>
    </w:pPr>
    <w:rPr>
      <w:rFonts w:ascii="Arial" w:hAnsi="Arial" w:eastAsia="Tahoma" w:cs="Times New Roman"/>
      <w:b w:val="false"/>
      <w:i w:val="false"/>
      <w:strike w:val="false"/>
      <w:dstrike w:val="false"/>
      <w:outline w:val="false"/>
      <w:shadow w:val="false"/>
      <w:color w:val="auto"/>
      <w:kern w:val="2"/>
      <w:sz w:val="36"/>
      <w:szCs w:val="24"/>
      <w:u w:val="none"/>
      <w:em w:val="none"/>
      <w:lang w:val="ru-RU" w:eastAsia="en-US" w:bidi="ar-SA"/>
    </w:rPr>
  </w:style>
  <w:style w:type="paragraph" w:styleId="Style33">
    <w:name w:val="Об'єкт без заповнення"/>
    <w:basedOn w:val="Style32"/>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Style34">
    <w:name w:val="Об'єкт без заповнення і ліній"/>
    <w:basedOn w:val="Style32"/>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Style35"/>
    <w:qFormat/>
    <w:pPr/>
    <w:rPr>
      <w:rFonts w:ascii="Noto Sans" w:hAnsi="Noto Sans"/>
      <w:sz w:val="36"/>
    </w:rPr>
  </w:style>
  <w:style w:type="paragraph" w:styleId="Style35">
    <w:name w:val="Текст"/>
    <w:basedOn w:val="Style27"/>
    <w:qFormat/>
    <w:pPr/>
    <w:rPr/>
  </w:style>
  <w:style w:type="paragraph" w:styleId="4">
    <w:name w:val="Титул А4"/>
    <w:basedOn w:val="A4"/>
    <w:qFormat/>
    <w:pPr/>
    <w:rPr>
      <w:rFonts w:ascii="Noto Sans" w:hAnsi="Noto Sans"/>
      <w:sz w:val="87"/>
    </w:rPr>
  </w:style>
  <w:style w:type="paragraph" w:styleId="41">
    <w:name w:val="Заголовок А4"/>
    <w:basedOn w:val="A4"/>
    <w:qFormat/>
    <w:pPr/>
    <w:rPr>
      <w:rFonts w:ascii="Noto Sans" w:hAnsi="Noto Sans"/>
      <w:sz w:val="48"/>
    </w:rPr>
  </w:style>
  <w:style w:type="paragraph" w:styleId="42">
    <w:name w:val="Текст А4"/>
    <w:basedOn w:val="A4"/>
    <w:qFormat/>
    <w:pPr/>
    <w:rPr>
      <w:rFonts w:ascii="Noto Sans" w:hAnsi="Noto Sans"/>
      <w:sz w:val="36"/>
    </w:rPr>
  </w:style>
  <w:style w:type="paragraph" w:styleId="A0">
    <w:name w:val="A0"/>
    <w:basedOn w:val="Style35"/>
    <w:qFormat/>
    <w:pPr/>
    <w:rPr>
      <w:rFonts w:ascii="Noto Sans" w:hAnsi="Noto Sans"/>
      <w:sz w:val="95"/>
    </w:rPr>
  </w:style>
  <w:style w:type="paragraph" w:styleId="0">
    <w:name w:val="Титул А0"/>
    <w:basedOn w:val="A0"/>
    <w:qFormat/>
    <w:pPr/>
    <w:rPr>
      <w:rFonts w:ascii="Noto Sans" w:hAnsi="Noto Sans"/>
      <w:sz w:val="191"/>
    </w:rPr>
  </w:style>
  <w:style w:type="paragraph" w:styleId="01">
    <w:name w:val="Заголовок А0"/>
    <w:basedOn w:val="A0"/>
    <w:qFormat/>
    <w:pPr/>
    <w:rPr>
      <w:rFonts w:ascii="Noto Sans" w:hAnsi="Noto Sans"/>
      <w:sz w:val="143"/>
    </w:rPr>
  </w:style>
  <w:style w:type="paragraph" w:styleId="A01">
    <w:name w:val="Текст A0"/>
    <w:basedOn w:val="A0"/>
    <w:qFormat/>
    <w:pPr/>
    <w:rPr>
      <w:rFonts w:ascii="Noto Sans" w:hAnsi="Noto Sans"/>
      <w:sz w:val="95"/>
    </w:rPr>
  </w:style>
  <w:style w:type="paragraph" w:styleId="Style36">
    <w:name w:val="Графічний об'єкт"/>
    <w:qFormat/>
    <w:pPr>
      <w:widowControl/>
      <w:bidi w:val="0"/>
      <w:spacing w:before="0" w:after="0"/>
      <w:jc w:val="left"/>
    </w:pPr>
    <w:rPr>
      <w:rFonts w:ascii="Liberation Sans" w:hAnsi="Liberation Sans" w:eastAsia="Tahoma" w:cs="Times New Roman"/>
      <w:color w:val="auto"/>
      <w:kern w:val="0"/>
      <w:sz w:val="36"/>
      <w:szCs w:val="24"/>
      <w:lang w:val="ru-RU" w:eastAsia="en-US" w:bidi="ar-SA"/>
    </w:rPr>
  </w:style>
  <w:style w:type="paragraph" w:styleId="Style37">
    <w:name w:val="Фігури"/>
    <w:basedOn w:val="Style36"/>
    <w:qFormat/>
    <w:pPr/>
    <w:rPr>
      <w:rFonts w:ascii="Liberation Sans" w:hAnsi="Liberation Sans"/>
      <w:b/>
      <w:sz w:val="28"/>
    </w:rPr>
  </w:style>
  <w:style w:type="paragraph" w:styleId="Style38">
    <w:name w:val="Заповнено"/>
    <w:basedOn w:val="Style37"/>
    <w:qFormat/>
    <w:pPr/>
    <w:rPr>
      <w:rFonts w:ascii="Liberation Sans" w:hAnsi="Liberation Sans"/>
      <w:b/>
      <w:sz w:val="28"/>
    </w:rPr>
  </w:style>
  <w:style w:type="paragraph" w:styleId="Style39">
    <w:name w:val="Заповнено синім"/>
    <w:basedOn w:val="Style38"/>
    <w:qFormat/>
    <w:pPr/>
    <w:rPr>
      <w:rFonts w:ascii="Liberation Sans" w:hAnsi="Liberation Sans"/>
      <w:b/>
      <w:color w:val="FFFFFF"/>
      <w:sz w:val="28"/>
    </w:rPr>
  </w:style>
  <w:style w:type="paragraph" w:styleId="Style40">
    <w:name w:val="Заповнено зеленим"/>
    <w:basedOn w:val="Style38"/>
    <w:qFormat/>
    <w:pPr/>
    <w:rPr>
      <w:rFonts w:ascii="Liberation Sans" w:hAnsi="Liberation Sans"/>
      <w:b/>
      <w:color w:val="FFFFFF"/>
      <w:sz w:val="28"/>
    </w:rPr>
  </w:style>
  <w:style w:type="paragraph" w:styleId="Style41">
    <w:name w:val="Заповнено червоним"/>
    <w:basedOn w:val="Style38"/>
    <w:qFormat/>
    <w:pPr/>
    <w:rPr>
      <w:rFonts w:ascii="Liberation Sans" w:hAnsi="Liberation Sans"/>
      <w:b/>
      <w:color w:val="FFFFFF"/>
      <w:sz w:val="28"/>
    </w:rPr>
  </w:style>
  <w:style w:type="paragraph" w:styleId="Style42">
    <w:name w:val="Заповнено жовтим"/>
    <w:basedOn w:val="Style38"/>
    <w:qFormat/>
    <w:pPr/>
    <w:rPr>
      <w:rFonts w:ascii="Liberation Sans" w:hAnsi="Liberation Sans"/>
      <w:b/>
      <w:color w:val="FFFFFF"/>
      <w:sz w:val="28"/>
    </w:rPr>
  </w:style>
  <w:style w:type="paragraph" w:styleId="Style43">
    <w:name w:val="Обведено"/>
    <w:basedOn w:val="Style37"/>
    <w:qFormat/>
    <w:pPr/>
    <w:rPr>
      <w:rFonts w:ascii="Liberation Sans" w:hAnsi="Liberation Sans"/>
      <w:b/>
      <w:sz w:val="28"/>
    </w:rPr>
  </w:style>
  <w:style w:type="paragraph" w:styleId="Style44">
    <w:name w:val="Обведено синім"/>
    <w:basedOn w:val="Style43"/>
    <w:qFormat/>
    <w:pPr/>
    <w:rPr>
      <w:rFonts w:ascii="Liberation Sans" w:hAnsi="Liberation Sans"/>
      <w:b/>
      <w:color w:val="355269"/>
      <w:sz w:val="28"/>
    </w:rPr>
  </w:style>
  <w:style w:type="paragraph" w:styleId="Style45">
    <w:name w:val="Обведено зеленим"/>
    <w:basedOn w:val="Style43"/>
    <w:qFormat/>
    <w:pPr/>
    <w:rPr>
      <w:rFonts w:ascii="Liberation Sans" w:hAnsi="Liberation Sans"/>
      <w:b/>
      <w:color w:val="127622"/>
      <w:sz w:val="28"/>
    </w:rPr>
  </w:style>
  <w:style w:type="paragraph" w:styleId="Style46">
    <w:name w:val="Обведено червоним"/>
    <w:basedOn w:val="Style43"/>
    <w:qFormat/>
    <w:pPr/>
    <w:rPr>
      <w:rFonts w:ascii="Liberation Sans" w:hAnsi="Liberation Sans"/>
      <w:b/>
      <w:color w:val="C9211E"/>
      <w:sz w:val="28"/>
    </w:rPr>
  </w:style>
  <w:style w:type="paragraph" w:styleId="Style47">
    <w:name w:val="Обведено жовтим"/>
    <w:basedOn w:val="Style43"/>
    <w:qFormat/>
    <w:pPr/>
    <w:rPr>
      <w:rFonts w:ascii="Liberation Sans" w:hAnsi="Liberation Sans"/>
      <w:b/>
      <w:color w:val="B47804"/>
      <w:sz w:val="28"/>
    </w:rPr>
  </w:style>
  <w:style w:type="paragraph" w:styleId="Style48">
    <w:name w:val="Лінії"/>
    <w:basedOn w:val="Style36"/>
    <w:qFormat/>
    <w:pPr/>
    <w:rPr>
      <w:rFonts w:ascii="Liberation Sans" w:hAnsi="Liberation Sans"/>
      <w:sz w:val="36"/>
    </w:rPr>
  </w:style>
  <w:style w:type="paragraph" w:styleId="Style49">
    <w:name w:val="Стрілка"/>
    <w:basedOn w:val="Style48"/>
    <w:qFormat/>
    <w:pPr/>
    <w:rPr>
      <w:rFonts w:ascii="Liberation Sans" w:hAnsi="Liberation Sans"/>
      <w:sz w:val="36"/>
    </w:rPr>
  </w:style>
  <w:style w:type="paragraph" w:styleId="Style50">
    <w:name w:val="Штрихова лінія"/>
    <w:basedOn w:val="Style48"/>
    <w:qFormat/>
    <w:pPr/>
    <w:rPr>
      <w:rFonts w:ascii="Liberation Sans" w:hAnsi="Liberation Sans"/>
      <w:sz w:val="36"/>
    </w:rPr>
  </w:style>
  <w:style w:type="paragraph" w:styleId="BlankSlideLTGliederung1">
    <w:name w:val="Blank Slide~LT~Gliederung 1"/>
    <w:qFormat/>
    <w:pPr>
      <w:widowControl/>
      <w:bidi w:val="0"/>
      <w:spacing w:before="283" w:after="0"/>
      <w:jc w:val="left"/>
    </w:pPr>
    <w:rPr>
      <w:rFonts w:ascii="Arial" w:hAnsi="Arial" w:eastAsia="Tahoma" w:cs="Times New Roman"/>
      <w:b w:val="false"/>
      <w:i w:val="false"/>
      <w:strike w:val="false"/>
      <w:dstrike w:val="false"/>
      <w:outline w:val="false"/>
      <w:shadow w:val="false"/>
      <w:color w:val="auto"/>
      <w:spacing w:val="0"/>
      <w:kern w:val="2"/>
      <w:sz w:val="63"/>
      <w:szCs w:val="24"/>
      <w:u w:val="none"/>
      <w:em w:val="none"/>
      <w:lang w:val="ru-RU" w:eastAsia="en-US" w:bidi="ar-SA"/>
    </w:rPr>
  </w:style>
  <w:style w:type="paragraph" w:styleId="BlankSlideLTGliederung2">
    <w:name w:val="Blank Slide~LT~Gliederung 2"/>
    <w:basedOn w:val="BlankSlideLTGliederung1"/>
    <w:qFormat/>
    <w:pPr>
      <w:spacing w:before="227" w:after="0"/>
    </w:pPr>
    <w:rPr>
      <w:rFonts w:ascii="Arial" w:hAnsi="Arial"/>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Arial" w:hAnsi="Arial"/>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Arial" w:hAnsi="Arial"/>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bidi w:val="0"/>
      <w:spacing w:before="0" w:after="0"/>
      <w:jc w:val="center"/>
    </w:pPr>
    <w:rPr>
      <w:rFonts w:ascii="Arial" w:hAnsi="Arial" w:eastAsia="Tahoma" w:cs="Times New Roman"/>
      <w:b w:val="false"/>
      <w:i w:val="false"/>
      <w:strike w:val="false"/>
      <w:dstrike w:val="false"/>
      <w:outline w:val="false"/>
      <w:shadow w:val="false"/>
      <w:color w:val="auto"/>
      <w:spacing w:val="0"/>
      <w:kern w:val="2"/>
      <w:sz w:val="88"/>
      <w:szCs w:val="24"/>
      <w:u w:val="none"/>
      <w:em w:val="none"/>
      <w:lang w:val="ru-RU" w:eastAsia="en-US" w:bidi="ar-SA"/>
    </w:rPr>
  </w:style>
  <w:style w:type="paragraph" w:styleId="BlankSlideLTUntertitel">
    <w:name w:val="Blank Slide~LT~Untertitel"/>
    <w:qFormat/>
    <w:pPr>
      <w:widowControl/>
      <w:bidi w:val="0"/>
      <w:spacing w:before="0" w:after="0"/>
      <w:jc w:val="center"/>
    </w:pPr>
    <w:rPr>
      <w:rFonts w:ascii="Arial" w:hAnsi="Arial" w:eastAsia="Tahoma" w:cs="Times New Roman"/>
      <w:b w:val="false"/>
      <w:i w:val="false"/>
      <w:strike w:val="false"/>
      <w:dstrike w:val="false"/>
      <w:outline w:val="false"/>
      <w:shadow w:val="false"/>
      <w:color w:val="auto"/>
      <w:kern w:val="2"/>
      <w:sz w:val="64"/>
      <w:szCs w:val="24"/>
      <w:u w:val="none"/>
      <w:em w:val="none"/>
      <w:lang w:val="ru-RU" w:eastAsia="en-US" w:bidi="ar-SA"/>
    </w:rPr>
  </w:style>
  <w:style w:type="paragraph" w:styleId="BlankSlideLTNotizen">
    <w:name w:val="Blank Slide~LT~Notizen"/>
    <w:qFormat/>
    <w:pPr>
      <w:widowControl/>
      <w:bidi w:val="0"/>
      <w:spacing w:before="0" w:after="0"/>
      <w:ind w:left="340" w:hanging="340"/>
      <w:jc w:val="left"/>
    </w:pPr>
    <w:rPr>
      <w:rFonts w:ascii="Arial" w:hAnsi="Arial" w:eastAsia="Tahoma" w:cs="Times New Roman"/>
      <w:b w:val="false"/>
      <w:i w:val="false"/>
      <w:strike w:val="false"/>
      <w:dstrike w:val="false"/>
      <w:outline w:val="false"/>
      <w:shadow w:val="false"/>
      <w:color w:val="auto"/>
      <w:kern w:val="2"/>
      <w:sz w:val="40"/>
      <w:szCs w:val="24"/>
      <w:u w:val="none"/>
      <w:em w:val="none"/>
      <w:lang w:val="ru-RU" w:eastAsia="en-US" w:bidi="ar-SA"/>
    </w:rPr>
  </w:style>
  <w:style w:type="paragraph" w:styleId="BlankSlideLTHintergrundobjekte">
    <w:name w:val="Blank Slide~LT~Hintergrundobjekte"/>
    <w:qFormat/>
    <w:pPr>
      <w:widowControl/>
      <w:bidi w:val="0"/>
      <w:spacing w:before="0" w:after="0"/>
      <w:jc w:val="left"/>
    </w:pPr>
    <w:rPr>
      <w:rFonts w:ascii="Liberation Serif" w:hAnsi="Liberation Serif" w:eastAsia="Tahoma" w:cs="Times New Roman"/>
      <w:color w:val="auto"/>
      <w:kern w:val="2"/>
      <w:sz w:val="24"/>
      <w:szCs w:val="24"/>
      <w:lang w:val="ru-RU" w:eastAsia="en-US" w:bidi="ar-SA"/>
    </w:rPr>
  </w:style>
  <w:style w:type="paragraph" w:styleId="BlankSlideLTHintergrund">
    <w:name w:val="Blank Slide~LT~Hintergrund"/>
    <w:qFormat/>
    <w:pPr>
      <w:widowControl/>
      <w:bidi w:val="0"/>
      <w:spacing w:before="0" w:after="0"/>
      <w:jc w:val="left"/>
    </w:pPr>
    <w:rPr>
      <w:rFonts w:ascii="Liberation Serif" w:hAnsi="Liberation Serif" w:eastAsia="Tahoma" w:cs="Times New Roman"/>
      <w:color w:val="auto"/>
      <w:kern w:val="2"/>
      <w:sz w:val="24"/>
      <w:szCs w:val="24"/>
      <w:lang w:val="ru-RU" w:eastAsia="en-US" w:bidi="ar-SA"/>
    </w:rPr>
  </w:style>
  <w:style w:type="paragraph" w:styleId="Default1">
    <w:name w:val="default"/>
    <w:qFormat/>
    <w:pPr>
      <w:widowControl/>
      <w:bidi w:val="0"/>
      <w:spacing w:lineRule="atLeast" w:line="200" w:before="0" w:after="0"/>
      <w:jc w:val="left"/>
    </w:pPr>
    <w:rPr>
      <w:rFonts w:ascii="Arial" w:hAnsi="Arial" w:eastAsia="Tahoma" w:cs="Times New Roman"/>
      <w:color w:val="auto"/>
      <w:kern w:val="2"/>
      <w:sz w:val="36"/>
      <w:szCs w:val="24"/>
      <w:lang w:val="ru-RU" w:eastAsia="en-US" w:bidi="ar-SA"/>
    </w:rPr>
  </w:style>
  <w:style w:type="paragraph" w:styleId="Gray1">
    <w:name w:val="gray1"/>
    <w:basedOn w:val="Default1"/>
    <w:qFormat/>
    <w:pPr>
      <w:spacing w:lineRule="atLeast" w:line="200" w:before="0" w:after="0"/>
    </w:pPr>
    <w:rPr>
      <w:rFonts w:ascii="Arial" w:hAnsi="Arial"/>
      <w:color w:val="auto"/>
      <w:kern w:val="2"/>
      <w:sz w:val="36"/>
    </w:rPr>
  </w:style>
  <w:style w:type="paragraph" w:styleId="Gray2">
    <w:name w:val="gray2"/>
    <w:basedOn w:val="Default1"/>
    <w:qFormat/>
    <w:pPr>
      <w:spacing w:lineRule="atLeast" w:line="200" w:before="0" w:after="0"/>
    </w:pPr>
    <w:rPr>
      <w:rFonts w:ascii="Arial" w:hAnsi="Arial"/>
      <w:color w:val="auto"/>
      <w:kern w:val="2"/>
      <w:sz w:val="36"/>
    </w:rPr>
  </w:style>
  <w:style w:type="paragraph" w:styleId="Gray3">
    <w:name w:val="gray3"/>
    <w:basedOn w:val="Default1"/>
    <w:qFormat/>
    <w:pPr>
      <w:spacing w:lineRule="atLeast" w:line="200" w:before="0" w:after="0"/>
    </w:pPr>
    <w:rPr>
      <w:rFonts w:ascii="Arial" w:hAnsi="Arial"/>
      <w:color w:val="auto"/>
      <w:kern w:val="2"/>
      <w:sz w:val="36"/>
    </w:rPr>
  </w:style>
  <w:style w:type="paragraph" w:styleId="Bw1">
    <w:name w:val="bw1"/>
    <w:basedOn w:val="Default1"/>
    <w:qFormat/>
    <w:pPr>
      <w:spacing w:lineRule="atLeast" w:line="200" w:before="0" w:after="0"/>
    </w:pPr>
    <w:rPr>
      <w:rFonts w:ascii="Arial" w:hAnsi="Arial"/>
      <w:color w:val="auto"/>
      <w:kern w:val="2"/>
      <w:sz w:val="36"/>
    </w:rPr>
  </w:style>
  <w:style w:type="paragraph" w:styleId="Bw2">
    <w:name w:val="bw2"/>
    <w:basedOn w:val="Default1"/>
    <w:qFormat/>
    <w:pPr>
      <w:spacing w:lineRule="atLeast" w:line="200" w:before="0" w:after="0"/>
    </w:pPr>
    <w:rPr>
      <w:rFonts w:ascii="Arial" w:hAnsi="Arial"/>
      <w:color w:val="auto"/>
      <w:kern w:val="2"/>
      <w:sz w:val="36"/>
    </w:rPr>
  </w:style>
  <w:style w:type="paragraph" w:styleId="Bw3">
    <w:name w:val="bw3"/>
    <w:basedOn w:val="Default1"/>
    <w:qFormat/>
    <w:pPr>
      <w:spacing w:lineRule="atLeast" w:line="200" w:before="0" w:after="0"/>
    </w:pPr>
    <w:rPr>
      <w:rFonts w:ascii="Arial" w:hAnsi="Arial"/>
      <w:color w:val="auto"/>
      <w:kern w:val="2"/>
      <w:sz w:val="36"/>
    </w:rPr>
  </w:style>
  <w:style w:type="paragraph" w:styleId="Orange1">
    <w:name w:val="orange1"/>
    <w:basedOn w:val="Default1"/>
    <w:qFormat/>
    <w:pPr>
      <w:spacing w:lineRule="atLeast" w:line="200" w:before="0" w:after="0"/>
    </w:pPr>
    <w:rPr>
      <w:rFonts w:ascii="Arial" w:hAnsi="Arial"/>
      <w:color w:val="auto"/>
      <w:kern w:val="2"/>
      <w:sz w:val="36"/>
    </w:rPr>
  </w:style>
  <w:style w:type="paragraph" w:styleId="Orange2">
    <w:name w:val="orange2"/>
    <w:basedOn w:val="Default1"/>
    <w:qFormat/>
    <w:pPr>
      <w:spacing w:lineRule="atLeast" w:line="200" w:before="0" w:after="0"/>
    </w:pPr>
    <w:rPr>
      <w:rFonts w:ascii="Arial" w:hAnsi="Arial"/>
      <w:color w:val="auto"/>
      <w:kern w:val="2"/>
      <w:sz w:val="36"/>
    </w:rPr>
  </w:style>
  <w:style w:type="paragraph" w:styleId="Orange3">
    <w:name w:val="orange3"/>
    <w:basedOn w:val="Default1"/>
    <w:qFormat/>
    <w:pPr>
      <w:spacing w:lineRule="atLeast" w:line="200" w:before="0" w:after="0"/>
    </w:pPr>
    <w:rPr>
      <w:rFonts w:ascii="Arial" w:hAnsi="Arial"/>
      <w:color w:val="auto"/>
      <w:kern w:val="2"/>
      <w:sz w:val="36"/>
    </w:rPr>
  </w:style>
  <w:style w:type="paragraph" w:styleId="Turquoise1">
    <w:name w:val="turquoise1"/>
    <w:basedOn w:val="Default1"/>
    <w:qFormat/>
    <w:pPr>
      <w:spacing w:lineRule="atLeast" w:line="200" w:before="0" w:after="0"/>
    </w:pPr>
    <w:rPr>
      <w:rFonts w:ascii="Arial" w:hAnsi="Arial"/>
      <w:color w:val="auto"/>
      <w:kern w:val="2"/>
      <w:sz w:val="36"/>
    </w:rPr>
  </w:style>
  <w:style w:type="paragraph" w:styleId="Turquoise2">
    <w:name w:val="turquoise2"/>
    <w:basedOn w:val="Default1"/>
    <w:qFormat/>
    <w:pPr>
      <w:spacing w:lineRule="atLeast" w:line="200" w:before="0" w:after="0"/>
    </w:pPr>
    <w:rPr>
      <w:rFonts w:ascii="Arial" w:hAnsi="Arial"/>
      <w:color w:val="auto"/>
      <w:kern w:val="2"/>
      <w:sz w:val="36"/>
    </w:rPr>
  </w:style>
  <w:style w:type="paragraph" w:styleId="Turquoise3">
    <w:name w:val="turquoise3"/>
    <w:basedOn w:val="Default1"/>
    <w:qFormat/>
    <w:pPr>
      <w:spacing w:lineRule="atLeast" w:line="200" w:before="0" w:after="0"/>
    </w:pPr>
    <w:rPr>
      <w:rFonts w:ascii="Arial" w:hAnsi="Arial"/>
      <w:color w:val="auto"/>
      <w:kern w:val="2"/>
      <w:sz w:val="36"/>
    </w:rPr>
  </w:style>
  <w:style w:type="paragraph" w:styleId="Blue1">
    <w:name w:val="blue1"/>
    <w:basedOn w:val="Default1"/>
    <w:qFormat/>
    <w:pPr>
      <w:spacing w:lineRule="atLeast" w:line="200" w:before="0" w:after="0"/>
    </w:pPr>
    <w:rPr>
      <w:rFonts w:ascii="Arial" w:hAnsi="Arial"/>
      <w:color w:val="auto"/>
      <w:kern w:val="2"/>
      <w:sz w:val="36"/>
    </w:rPr>
  </w:style>
  <w:style w:type="paragraph" w:styleId="Blue2">
    <w:name w:val="blue2"/>
    <w:basedOn w:val="Default1"/>
    <w:qFormat/>
    <w:pPr>
      <w:spacing w:lineRule="atLeast" w:line="200" w:before="0" w:after="0"/>
    </w:pPr>
    <w:rPr>
      <w:rFonts w:ascii="Arial" w:hAnsi="Arial"/>
      <w:color w:val="auto"/>
      <w:kern w:val="2"/>
      <w:sz w:val="36"/>
    </w:rPr>
  </w:style>
  <w:style w:type="paragraph" w:styleId="Blue3">
    <w:name w:val="blue3"/>
    <w:basedOn w:val="Default1"/>
    <w:qFormat/>
    <w:pPr>
      <w:spacing w:lineRule="atLeast" w:line="200" w:before="0" w:after="0"/>
    </w:pPr>
    <w:rPr>
      <w:rFonts w:ascii="Arial" w:hAnsi="Arial"/>
      <w:color w:val="auto"/>
      <w:kern w:val="2"/>
      <w:sz w:val="36"/>
    </w:rPr>
  </w:style>
  <w:style w:type="paragraph" w:styleId="Sun1">
    <w:name w:val="sun1"/>
    <w:basedOn w:val="Default1"/>
    <w:qFormat/>
    <w:pPr>
      <w:spacing w:lineRule="atLeast" w:line="200" w:before="0" w:after="0"/>
    </w:pPr>
    <w:rPr>
      <w:rFonts w:ascii="Arial" w:hAnsi="Arial"/>
      <w:color w:val="auto"/>
      <w:kern w:val="2"/>
      <w:sz w:val="36"/>
    </w:rPr>
  </w:style>
  <w:style w:type="paragraph" w:styleId="Sun2">
    <w:name w:val="sun2"/>
    <w:basedOn w:val="Default1"/>
    <w:qFormat/>
    <w:pPr>
      <w:spacing w:lineRule="atLeast" w:line="200" w:before="0" w:after="0"/>
    </w:pPr>
    <w:rPr>
      <w:rFonts w:ascii="Arial" w:hAnsi="Arial"/>
      <w:color w:val="auto"/>
      <w:kern w:val="2"/>
      <w:sz w:val="36"/>
    </w:rPr>
  </w:style>
  <w:style w:type="paragraph" w:styleId="Sun3">
    <w:name w:val="sun3"/>
    <w:basedOn w:val="Default1"/>
    <w:qFormat/>
    <w:pPr>
      <w:spacing w:lineRule="atLeast" w:line="200" w:before="0" w:after="0"/>
    </w:pPr>
    <w:rPr>
      <w:rFonts w:ascii="Arial" w:hAnsi="Arial"/>
      <w:color w:val="auto"/>
      <w:kern w:val="2"/>
      <w:sz w:val="36"/>
    </w:rPr>
  </w:style>
  <w:style w:type="paragraph" w:styleId="Earth1">
    <w:name w:val="earth1"/>
    <w:basedOn w:val="Default1"/>
    <w:qFormat/>
    <w:pPr>
      <w:spacing w:lineRule="atLeast" w:line="200" w:before="0" w:after="0"/>
    </w:pPr>
    <w:rPr>
      <w:rFonts w:ascii="Arial" w:hAnsi="Arial"/>
      <w:color w:val="auto"/>
      <w:kern w:val="2"/>
      <w:sz w:val="36"/>
    </w:rPr>
  </w:style>
  <w:style w:type="paragraph" w:styleId="Earth2">
    <w:name w:val="earth2"/>
    <w:basedOn w:val="Default1"/>
    <w:qFormat/>
    <w:pPr>
      <w:spacing w:lineRule="atLeast" w:line="200" w:before="0" w:after="0"/>
    </w:pPr>
    <w:rPr>
      <w:rFonts w:ascii="Arial" w:hAnsi="Arial"/>
      <w:color w:val="auto"/>
      <w:kern w:val="2"/>
      <w:sz w:val="36"/>
    </w:rPr>
  </w:style>
  <w:style w:type="paragraph" w:styleId="Earth3">
    <w:name w:val="earth3"/>
    <w:basedOn w:val="Default1"/>
    <w:qFormat/>
    <w:pPr>
      <w:spacing w:lineRule="atLeast" w:line="200" w:before="0" w:after="0"/>
    </w:pPr>
    <w:rPr>
      <w:rFonts w:ascii="Arial" w:hAnsi="Arial"/>
      <w:color w:val="auto"/>
      <w:kern w:val="2"/>
      <w:sz w:val="36"/>
    </w:rPr>
  </w:style>
  <w:style w:type="paragraph" w:styleId="Green1">
    <w:name w:val="green1"/>
    <w:basedOn w:val="Default1"/>
    <w:qFormat/>
    <w:pPr>
      <w:spacing w:lineRule="atLeast" w:line="200" w:before="0" w:after="0"/>
    </w:pPr>
    <w:rPr>
      <w:rFonts w:ascii="Arial" w:hAnsi="Arial"/>
      <w:color w:val="auto"/>
      <w:kern w:val="2"/>
      <w:sz w:val="36"/>
    </w:rPr>
  </w:style>
  <w:style w:type="paragraph" w:styleId="Green2">
    <w:name w:val="green2"/>
    <w:basedOn w:val="Default1"/>
    <w:qFormat/>
    <w:pPr>
      <w:spacing w:lineRule="atLeast" w:line="200" w:before="0" w:after="0"/>
    </w:pPr>
    <w:rPr>
      <w:rFonts w:ascii="Arial" w:hAnsi="Arial"/>
      <w:color w:val="auto"/>
      <w:kern w:val="2"/>
      <w:sz w:val="36"/>
    </w:rPr>
  </w:style>
  <w:style w:type="paragraph" w:styleId="Green3">
    <w:name w:val="green3"/>
    <w:basedOn w:val="Default1"/>
    <w:qFormat/>
    <w:pPr>
      <w:spacing w:lineRule="atLeast" w:line="200" w:before="0" w:after="0"/>
    </w:pPr>
    <w:rPr>
      <w:rFonts w:ascii="Arial" w:hAnsi="Arial"/>
      <w:color w:val="auto"/>
      <w:kern w:val="2"/>
      <w:sz w:val="36"/>
    </w:rPr>
  </w:style>
  <w:style w:type="paragraph" w:styleId="Seetang1">
    <w:name w:val="seetang1"/>
    <w:basedOn w:val="Default1"/>
    <w:qFormat/>
    <w:pPr>
      <w:spacing w:lineRule="atLeast" w:line="200" w:before="0" w:after="0"/>
    </w:pPr>
    <w:rPr>
      <w:rFonts w:ascii="Arial" w:hAnsi="Arial"/>
      <w:color w:val="auto"/>
      <w:kern w:val="2"/>
      <w:sz w:val="36"/>
    </w:rPr>
  </w:style>
  <w:style w:type="paragraph" w:styleId="Seetang2">
    <w:name w:val="seetang2"/>
    <w:basedOn w:val="Default1"/>
    <w:qFormat/>
    <w:pPr>
      <w:spacing w:lineRule="atLeast" w:line="200" w:before="0" w:after="0"/>
    </w:pPr>
    <w:rPr>
      <w:rFonts w:ascii="Arial" w:hAnsi="Arial"/>
      <w:color w:val="auto"/>
      <w:kern w:val="2"/>
      <w:sz w:val="36"/>
    </w:rPr>
  </w:style>
  <w:style w:type="paragraph" w:styleId="Seetang3">
    <w:name w:val="seetang3"/>
    <w:basedOn w:val="Default1"/>
    <w:qFormat/>
    <w:pPr>
      <w:spacing w:lineRule="atLeast" w:line="200" w:before="0" w:after="0"/>
    </w:pPr>
    <w:rPr>
      <w:rFonts w:ascii="Arial" w:hAnsi="Arial"/>
      <w:color w:val="auto"/>
      <w:kern w:val="2"/>
      <w:sz w:val="36"/>
    </w:rPr>
  </w:style>
  <w:style w:type="paragraph" w:styleId="Lightblue1">
    <w:name w:val="lightblue1"/>
    <w:basedOn w:val="Default1"/>
    <w:qFormat/>
    <w:pPr>
      <w:spacing w:lineRule="atLeast" w:line="200" w:before="0" w:after="0"/>
    </w:pPr>
    <w:rPr>
      <w:rFonts w:ascii="Arial" w:hAnsi="Arial"/>
      <w:color w:val="auto"/>
      <w:kern w:val="2"/>
      <w:sz w:val="36"/>
    </w:rPr>
  </w:style>
  <w:style w:type="paragraph" w:styleId="Lightblue2">
    <w:name w:val="lightblue2"/>
    <w:basedOn w:val="Default1"/>
    <w:qFormat/>
    <w:pPr>
      <w:spacing w:lineRule="atLeast" w:line="200" w:before="0" w:after="0"/>
    </w:pPr>
    <w:rPr>
      <w:rFonts w:ascii="Arial" w:hAnsi="Arial"/>
      <w:color w:val="auto"/>
      <w:kern w:val="2"/>
      <w:sz w:val="36"/>
    </w:rPr>
  </w:style>
  <w:style w:type="paragraph" w:styleId="Lightblue3">
    <w:name w:val="lightblue3"/>
    <w:basedOn w:val="Default1"/>
    <w:qFormat/>
    <w:pPr>
      <w:spacing w:lineRule="atLeast" w:line="200" w:before="0" w:after="0"/>
    </w:pPr>
    <w:rPr>
      <w:rFonts w:ascii="Arial" w:hAnsi="Arial"/>
      <w:color w:val="auto"/>
      <w:kern w:val="2"/>
      <w:sz w:val="36"/>
    </w:rPr>
  </w:style>
  <w:style w:type="paragraph" w:styleId="Yellow1">
    <w:name w:val="yellow1"/>
    <w:basedOn w:val="Default1"/>
    <w:qFormat/>
    <w:pPr>
      <w:spacing w:lineRule="atLeast" w:line="200" w:before="0" w:after="0"/>
    </w:pPr>
    <w:rPr>
      <w:rFonts w:ascii="Arial" w:hAnsi="Arial"/>
      <w:color w:val="auto"/>
      <w:kern w:val="2"/>
      <w:sz w:val="36"/>
    </w:rPr>
  </w:style>
  <w:style w:type="paragraph" w:styleId="Yellow2">
    <w:name w:val="yellow2"/>
    <w:basedOn w:val="Default1"/>
    <w:qFormat/>
    <w:pPr>
      <w:spacing w:lineRule="atLeast" w:line="200" w:before="0" w:after="0"/>
    </w:pPr>
    <w:rPr>
      <w:rFonts w:ascii="Arial" w:hAnsi="Arial"/>
      <w:color w:val="auto"/>
      <w:kern w:val="2"/>
      <w:sz w:val="36"/>
    </w:rPr>
  </w:style>
  <w:style w:type="paragraph" w:styleId="Yellow3">
    <w:name w:val="yellow3"/>
    <w:basedOn w:val="Default1"/>
    <w:qFormat/>
    <w:pPr>
      <w:spacing w:lineRule="atLeast" w:line="200" w:before="0" w:after="0"/>
    </w:pPr>
    <w:rPr>
      <w:rFonts w:ascii="Arial" w:hAnsi="Arial"/>
      <w:color w:val="auto"/>
      <w:kern w:val="2"/>
      <w:sz w:val="36"/>
    </w:rPr>
  </w:style>
  <w:style w:type="paragraph" w:styleId="Style51">
    <w:name w:val="Об'єкти на тлі"/>
    <w:qFormat/>
    <w:pPr>
      <w:widowControl/>
      <w:bidi w:val="0"/>
      <w:spacing w:before="0" w:after="0"/>
      <w:jc w:val="left"/>
    </w:pPr>
    <w:rPr>
      <w:rFonts w:ascii="Liberation Serif" w:hAnsi="Liberation Serif" w:eastAsia="Tahoma" w:cs="Times New Roman"/>
      <w:color w:val="auto"/>
      <w:kern w:val="2"/>
      <w:sz w:val="24"/>
      <w:szCs w:val="24"/>
      <w:lang w:val="ru-RU" w:eastAsia="en-US" w:bidi="ar-SA"/>
    </w:rPr>
  </w:style>
  <w:style w:type="paragraph" w:styleId="Style52">
    <w:name w:val="Тло"/>
    <w:qFormat/>
    <w:pPr>
      <w:widowControl/>
      <w:bidi w:val="0"/>
      <w:spacing w:before="0" w:after="0"/>
      <w:jc w:val="left"/>
    </w:pPr>
    <w:rPr>
      <w:rFonts w:ascii="Liberation Serif" w:hAnsi="Liberation Serif" w:eastAsia="Tahoma" w:cs="Times New Roman"/>
      <w:color w:val="auto"/>
      <w:kern w:val="2"/>
      <w:sz w:val="24"/>
      <w:szCs w:val="24"/>
      <w:lang w:val="ru-RU" w:eastAsia="en-US" w:bidi="ar-SA"/>
    </w:rPr>
  </w:style>
  <w:style w:type="paragraph" w:styleId="12">
    <w:name w:val="Структура 1"/>
    <w:qFormat/>
    <w:pPr>
      <w:widowControl/>
      <w:bidi w:val="0"/>
      <w:spacing w:before="283" w:after="0"/>
      <w:jc w:val="left"/>
    </w:pPr>
    <w:rPr>
      <w:rFonts w:ascii="Arial" w:hAnsi="Arial" w:eastAsia="Tahoma" w:cs="Times New Roman"/>
      <w:b w:val="false"/>
      <w:i w:val="false"/>
      <w:strike w:val="false"/>
      <w:dstrike w:val="false"/>
      <w:outline w:val="false"/>
      <w:shadow w:val="false"/>
      <w:color w:val="auto"/>
      <w:spacing w:val="0"/>
      <w:kern w:val="2"/>
      <w:sz w:val="63"/>
      <w:szCs w:val="24"/>
      <w:u w:val="none"/>
      <w:em w:val="none"/>
      <w:lang w:val="ru-RU" w:eastAsia="en-US" w:bidi="ar-SA"/>
    </w:rPr>
  </w:style>
  <w:style w:type="paragraph" w:styleId="22">
    <w:name w:val="Структура 2"/>
    <w:basedOn w:val="12"/>
    <w:qFormat/>
    <w:pPr>
      <w:spacing w:before="227" w:after="0"/>
    </w:pPr>
    <w:rPr>
      <w:rFonts w:ascii="Arial" w:hAnsi="Arial"/>
      <w:b w:val="false"/>
      <w:i w:val="false"/>
      <w:strike w:val="false"/>
      <w:dstrike w:val="false"/>
      <w:outline w:val="false"/>
      <w:shadow w:val="false"/>
      <w:color w:val="auto"/>
      <w:spacing w:val="0"/>
      <w:kern w:val="2"/>
      <w:sz w:val="56"/>
      <w:u w:val="none"/>
      <w:em w:val="none"/>
    </w:rPr>
  </w:style>
  <w:style w:type="paragraph" w:styleId="3">
    <w:name w:val="Структура 3"/>
    <w:basedOn w:val="22"/>
    <w:qFormat/>
    <w:pPr>
      <w:spacing w:before="170" w:after="0"/>
    </w:pPr>
    <w:rPr>
      <w:rFonts w:ascii="Arial" w:hAnsi="Arial"/>
      <w:b w:val="false"/>
      <w:i w:val="false"/>
      <w:strike w:val="false"/>
      <w:dstrike w:val="false"/>
      <w:outline w:val="false"/>
      <w:shadow w:val="false"/>
      <w:color w:val="auto"/>
      <w:spacing w:val="0"/>
      <w:kern w:val="2"/>
      <w:sz w:val="48"/>
      <w:u w:val="none"/>
      <w:em w:val="none"/>
    </w:rPr>
  </w:style>
  <w:style w:type="paragraph" w:styleId="43">
    <w:name w:val="Структура 4"/>
    <w:basedOn w:val="3"/>
    <w:qFormat/>
    <w:pPr>
      <w:spacing w:before="113" w:after="0"/>
    </w:pPr>
    <w:rPr>
      <w:rFonts w:ascii="Arial" w:hAnsi="Arial"/>
      <w:b w:val="false"/>
      <w:i w:val="false"/>
      <w:strike w:val="false"/>
      <w:dstrike w:val="false"/>
      <w:outline w:val="false"/>
      <w:shadow w:val="false"/>
      <w:color w:val="auto"/>
      <w:spacing w:val="0"/>
      <w:kern w:val="2"/>
      <w:sz w:val="40"/>
      <w:u w:val="none"/>
      <w:em w:val="none"/>
    </w:rPr>
  </w:style>
  <w:style w:type="paragraph" w:styleId="5">
    <w:name w:val="Структура 5"/>
    <w:basedOn w:val="43"/>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6">
    <w:name w:val="Структура 6"/>
    <w:basedOn w:val="5"/>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7">
    <w:name w:val="Структура 7"/>
    <w:basedOn w:val="6"/>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8">
    <w:name w:val="Структура 8"/>
    <w:basedOn w:val="7"/>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9">
    <w:name w:val="Структура 9"/>
    <w:basedOn w:val="8"/>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LTGliederung1">
    <w:name w:val="Звичайний~LT~Gliederung 1"/>
    <w:qFormat/>
    <w:pPr>
      <w:widowControl/>
      <w:bidi w:val="0"/>
      <w:spacing w:before="283" w:after="0"/>
      <w:jc w:val="left"/>
    </w:pPr>
    <w:rPr>
      <w:rFonts w:ascii="Arial" w:hAnsi="Arial" w:eastAsia="Tahoma" w:cs="Times New Roman"/>
      <w:b w:val="false"/>
      <w:i w:val="false"/>
      <w:strike w:val="false"/>
      <w:dstrike w:val="false"/>
      <w:outline w:val="false"/>
      <w:shadow w:val="false"/>
      <w:color w:val="auto"/>
      <w:spacing w:val="0"/>
      <w:kern w:val="2"/>
      <w:sz w:val="63"/>
      <w:szCs w:val="24"/>
      <w:u w:val="none"/>
      <w:em w:val="none"/>
      <w:lang w:val="ru-RU" w:eastAsia="en-US" w:bidi="ar-SA"/>
    </w:rPr>
  </w:style>
  <w:style w:type="paragraph" w:styleId="LTGliederung2">
    <w:name w:val="Звичайний~LT~Gliederung 2"/>
    <w:basedOn w:val="LTGliederung1"/>
    <w:qFormat/>
    <w:pPr>
      <w:spacing w:before="227" w:after="0"/>
    </w:pPr>
    <w:rPr>
      <w:rFonts w:ascii="Arial" w:hAnsi="Arial"/>
      <w:b w:val="false"/>
      <w:i w:val="false"/>
      <w:strike w:val="false"/>
      <w:dstrike w:val="false"/>
      <w:outline w:val="false"/>
      <w:shadow w:val="false"/>
      <w:color w:val="auto"/>
      <w:spacing w:val="0"/>
      <w:kern w:val="2"/>
      <w:sz w:val="56"/>
      <w:u w:val="none"/>
      <w:em w:val="none"/>
    </w:rPr>
  </w:style>
  <w:style w:type="paragraph" w:styleId="LTGliederung3">
    <w:name w:val="Звичайний~LT~Gliederung 3"/>
    <w:basedOn w:val="LTGliederung2"/>
    <w:qFormat/>
    <w:pPr>
      <w:spacing w:before="170" w:after="0"/>
    </w:pPr>
    <w:rPr>
      <w:rFonts w:ascii="Arial" w:hAnsi="Arial"/>
      <w:b w:val="false"/>
      <w:i w:val="false"/>
      <w:strike w:val="false"/>
      <w:dstrike w:val="false"/>
      <w:outline w:val="false"/>
      <w:shadow w:val="false"/>
      <w:color w:val="auto"/>
      <w:spacing w:val="0"/>
      <w:kern w:val="2"/>
      <w:sz w:val="48"/>
      <w:u w:val="none"/>
      <w:em w:val="none"/>
    </w:rPr>
  </w:style>
  <w:style w:type="paragraph" w:styleId="LTGliederung4">
    <w:name w:val="Звичайний~LT~Gliederung 4"/>
    <w:basedOn w:val="LTGliederung3"/>
    <w:qFormat/>
    <w:pPr>
      <w:spacing w:before="113" w:after="0"/>
    </w:pPr>
    <w:rPr>
      <w:rFonts w:ascii="Arial" w:hAnsi="Arial"/>
      <w:b w:val="false"/>
      <w:i w:val="false"/>
      <w:strike w:val="false"/>
      <w:dstrike w:val="false"/>
      <w:outline w:val="false"/>
      <w:shadow w:val="false"/>
      <w:color w:val="auto"/>
      <w:spacing w:val="0"/>
      <w:kern w:val="2"/>
      <w:sz w:val="40"/>
      <w:u w:val="none"/>
      <w:em w:val="none"/>
    </w:rPr>
  </w:style>
  <w:style w:type="paragraph" w:styleId="LTGliederung5">
    <w:name w:val="Звичайний~LT~Gliederung 5"/>
    <w:basedOn w:val="LTGliederung4"/>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LTGliederung6">
    <w:name w:val="Звичайний~LT~Gliederung 6"/>
    <w:basedOn w:val="LTGliederung5"/>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LTGliederung7">
    <w:name w:val="Звичайний~LT~Gliederung 7"/>
    <w:basedOn w:val="LTGliederung6"/>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LTGliederung8">
    <w:name w:val="Звичайний~LT~Gliederung 8"/>
    <w:basedOn w:val="LTGliederung7"/>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LTGliederung9">
    <w:name w:val="Звичайний~LT~Gliederung 9"/>
    <w:basedOn w:val="LTGliederung8"/>
    <w:qFormat/>
    <w:pPr>
      <w:spacing w:before="57" w:after="0"/>
    </w:pPr>
    <w:rPr>
      <w:rFonts w:ascii="Arial" w:hAnsi="Arial"/>
      <w:b w:val="false"/>
      <w:i w:val="false"/>
      <w:strike w:val="false"/>
      <w:dstrike w:val="false"/>
      <w:outline w:val="false"/>
      <w:shadow w:val="false"/>
      <w:color w:val="auto"/>
      <w:spacing w:val="0"/>
      <w:kern w:val="2"/>
      <w:sz w:val="40"/>
      <w:u w:val="none"/>
      <w:em w:val="none"/>
    </w:rPr>
  </w:style>
  <w:style w:type="paragraph" w:styleId="LTTitel">
    <w:name w:val="Звичайний~LT~Titel"/>
    <w:qFormat/>
    <w:pPr>
      <w:widowControl/>
      <w:bidi w:val="0"/>
      <w:spacing w:before="0" w:after="0"/>
      <w:jc w:val="center"/>
    </w:pPr>
    <w:rPr>
      <w:rFonts w:ascii="Arial" w:hAnsi="Arial" w:eastAsia="Tahoma" w:cs="Times New Roman"/>
      <w:b w:val="false"/>
      <w:i w:val="false"/>
      <w:strike w:val="false"/>
      <w:dstrike w:val="false"/>
      <w:outline w:val="false"/>
      <w:shadow w:val="false"/>
      <w:color w:val="auto"/>
      <w:spacing w:val="0"/>
      <w:kern w:val="2"/>
      <w:sz w:val="88"/>
      <w:szCs w:val="24"/>
      <w:u w:val="none"/>
      <w:em w:val="none"/>
      <w:lang w:val="ru-RU" w:eastAsia="en-US" w:bidi="ar-SA"/>
    </w:rPr>
  </w:style>
  <w:style w:type="paragraph" w:styleId="LTUntertitel">
    <w:name w:val="Звичайний~LT~Untertitel"/>
    <w:qFormat/>
    <w:pPr>
      <w:widowControl/>
      <w:bidi w:val="0"/>
      <w:spacing w:before="0" w:after="0"/>
      <w:jc w:val="center"/>
    </w:pPr>
    <w:rPr>
      <w:rFonts w:ascii="Arial" w:hAnsi="Arial" w:eastAsia="Tahoma" w:cs="Times New Roman"/>
      <w:b w:val="false"/>
      <w:i w:val="false"/>
      <w:strike w:val="false"/>
      <w:dstrike w:val="false"/>
      <w:outline w:val="false"/>
      <w:shadow w:val="false"/>
      <w:color w:val="auto"/>
      <w:kern w:val="2"/>
      <w:sz w:val="64"/>
      <w:szCs w:val="24"/>
      <w:u w:val="none"/>
      <w:em w:val="none"/>
      <w:lang w:val="ru-RU" w:eastAsia="en-US" w:bidi="ar-SA"/>
    </w:rPr>
  </w:style>
  <w:style w:type="paragraph" w:styleId="LTNotizen">
    <w:name w:val="Звичайний~LT~Notizen"/>
    <w:qFormat/>
    <w:pPr>
      <w:widowControl/>
      <w:bidi w:val="0"/>
      <w:spacing w:before="0" w:after="0"/>
      <w:ind w:left="340" w:hanging="340"/>
      <w:jc w:val="left"/>
    </w:pPr>
    <w:rPr>
      <w:rFonts w:ascii="Arial" w:hAnsi="Arial" w:eastAsia="Tahoma" w:cs="Times New Roman"/>
      <w:b w:val="false"/>
      <w:i w:val="false"/>
      <w:strike w:val="false"/>
      <w:dstrike w:val="false"/>
      <w:outline w:val="false"/>
      <w:shadow w:val="false"/>
      <w:color w:val="auto"/>
      <w:kern w:val="2"/>
      <w:sz w:val="40"/>
      <w:szCs w:val="24"/>
      <w:u w:val="none"/>
      <w:em w:val="none"/>
      <w:lang w:val="ru-RU" w:eastAsia="en-US" w:bidi="ar-SA"/>
    </w:rPr>
  </w:style>
  <w:style w:type="paragraph" w:styleId="LTHintergrundobjekte">
    <w:name w:val="Звичайний~LT~Hintergrundobjekte"/>
    <w:qFormat/>
    <w:pPr>
      <w:widowControl/>
      <w:bidi w:val="0"/>
      <w:spacing w:before="0" w:after="0"/>
      <w:jc w:val="left"/>
    </w:pPr>
    <w:rPr>
      <w:rFonts w:ascii="Liberation Serif" w:hAnsi="Liberation Serif" w:eastAsia="Tahoma" w:cs="Times New Roman"/>
      <w:color w:val="auto"/>
      <w:kern w:val="2"/>
      <w:sz w:val="24"/>
      <w:szCs w:val="24"/>
      <w:lang w:val="ru-RU" w:eastAsia="en-US" w:bidi="ar-SA"/>
    </w:rPr>
  </w:style>
  <w:style w:type="paragraph" w:styleId="LTHintergrund">
    <w:name w:val="Звичайний~LT~Hintergrund"/>
    <w:qFormat/>
    <w:pPr>
      <w:widowControl/>
      <w:bidi w:val="0"/>
      <w:spacing w:before="0" w:after="0"/>
      <w:jc w:val="left"/>
    </w:pPr>
    <w:rPr>
      <w:rFonts w:ascii="Liberation Serif" w:hAnsi="Liberation Serif" w:eastAsia="Tahoma" w:cs="Times New Roman"/>
      <w:color w:val="auto"/>
      <w:kern w:val="2"/>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ccmcluster.us14.list-manage.com/subscribe?u=47beb54720f3642cf4fd0ebc0&amp;id=3def124b47"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cccmcluster.org/resources/minimum-standards-camp-management" TargetMode="External"/><Relationship Id="rId2" Type="http://schemas.openxmlformats.org/officeDocument/2006/relationships/hyperlink" Target="https://spherestandards.or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DE2E-E68E-49A7-B8A5-A90D15F5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6429</TotalTime>
  <Application>LibreOffice/6.4.0.3$Windows_X86_64 LibreOffice_project/b0a288ab3d2d4774cb44b62f04d5d28733ac6df8</Application>
  <Pages>6</Pages>
  <Words>1669</Words>
  <Characters>10990</Characters>
  <CharactersWithSpaces>12629</CharactersWithSpaces>
  <Paragraphs>58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uk-UA</dc:language>
  <cp:lastModifiedBy/>
  <dcterms:modified xsi:type="dcterms:W3CDTF">2022-03-19T16:35:13Z</dcterms:modified>
  <cp:revision>791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