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widowControl w:val="0"/>
        <w:autoSpaceDE w:val="0"/>
        <w:autoSpaceDN w:val="0"/>
        <w:adjustRightInd w:val="0"/>
        <w:spacing w:line="228" w:lineRule="auto"/>
        <w:rPr>
          <w:rFonts w:asciiTheme="minorHAnsi" w:hAnsiTheme="minorHAnsi" w:cstheme="minorHAnsi"/>
          <w:lang w:val="pt-BR"/>
        </w:rPr>
      </w:pPr>
      <w:bookmarkStart w:id="0" w:name="_GoBack"/>
      <w:bookmarkEnd w:id="0"/>
    </w:p>
    <w:p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240" w:line="228" w:lineRule="auto"/>
        <w:rPr>
          <w:rFonts w:asciiTheme="minorHAnsi" w:hAnsiTheme="minorHAnsi" w:cstheme="minorHAnsi"/>
          <w:lang w:val="pt-BR"/>
        </w:rPr>
      </w:pPr>
      <w:r>
        <w:rPr>
          <w:rFonts w:cs="Calibri"/>
          <w:lang w:val="pt-BR"/>
        </w:rPr>
        <w:t xml:space="preserve">O que é um Código de Conduta? </w:t>
      </w:r>
    </w:p>
    <w:p>
      <w:pPr>
        <w:widowControl w:val="0"/>
        <w:autoSpaceDE w:val="0"/>
        <w:autoSpaceDN w:val="0"/>
        <w:adjustRightInd w:val="0"/>
        <w:spacing w:after="240" w:line="228" w:lineRule="auto"/>
        <w:ind w:left="360"/>
        <w:rPr>
          <w:rFonts w:asciiTheme="minorHAnsi" w:hAnsiTheme="minorHAnsi" w:cstheme="minorHAnsi"/>
          <w:lang w:val="pt-BR"/>
        </w:rPr>
      </w:pPr>
      <w:r>
        <w:rPr>
          <w:rFonts w:cs="Calibri"/>
          <w:lang w:val="pt-BR"/>
        </w:rPr>
        <w:t>O Código de Conduta é um documento que estabelece padrões de comportamento ético entre a equipe de gestão do acampamento e qualquer agente do acampamento que realiza trabalho humanitário no mesmo, seguindo princípios e diretrizes para a proteção, segurança e privacidade dos residentes do acampamento.</w:t>
      </w:r>
    </w:p>
    <w:p>
      <w:pPr>
        <w:widowControl w:val="0"/>
        <w:autoSpaceDE w:val="0"/>
        <w:autoSpaceDN w:val="0"/>
        <w:adjustRightInd w:val="0"/>
        <w:spacing w:after="240" w:line="228" w:lineRule="auto"/>
        <w:ind w:left="360"/>
        <w:rPr>
          <w:rFonts w:asciiTheme="minorHAnsi" w:hAnsiTheme="minorHAnsi" w:cstheme="minorHAnsi"/>
          <w:lang w:val="pt-BR"/>
        </w:rPr>
      </w:pPr>
      <w:r>
        <w:rPr>
          <w:rFonts w:cs="Calibri"/>
          <w:lang w:val="pt-BR"/>
        </w:rPr>
        <w:t xml:space="preserve">O Código não substitui a lei nacional. </w:t>
      </w:r>
    </w:p>
    <w:p>
      <w:pPr>
        <w:widowControl w:val="0"/>
        <w:autoSpaceDE w:val="0"/>
        <w:autoSpaceDN w:val="0"/>
        <w:adjustRightInd w:val="0"/>
        <w:spacing w:after="240" w:line="228" w:lineRule="auto"/>
        <w:ind w:left="360"/>
        <w:rPr>
          <w:rFonts w:asciiTheme="minorHAnsi" w:hAnsiTheme="minorHAnsi" w:cstheme="minorHAnsi"/>
          <w:lang w:val="pt-BR"/>
        </w:rPr>
      </w:pPr>
      <w:r>
        <w:rPr>
          <w:rFonts w:cs="Calibri"/>
          <w:lang w:val="pt-BR"/>
        </w:rPr>
        <w:t>É um compromisso formal da nossa responsabilidade pelo nosso comportamento. É um compromisso que não faremos coisas que coloquem outros colegas ou residentes do acampamento em risco de dano. O Código identifica os padrões mínimos de comportamento de todo o pessoal humanitário que trabalha no acampamento. É um código moral, que não tem a força da lei.</w:t>
      </w:r>
    </w:p>
    <w:p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240" w:line="228" w:lineRule="auto"/>
        <w:rPr>
          <w:rFonts w:cstheme="minorHAnsi"/>
          <w:lang w:val="pt-BR"/>
        </w:rPr>
      </w:pPr>
      <w:r>
        <w:rPr>
          <w:rFonts w:cs="Calibri"/>
          <w:lang w:val="pt-BR"/>
        </w:rPr>
        <w:t xml:space="preserve">Quais são as origens do Código de Conduta? </w:t>
      </w:r>
    </w:p>
    <w:p>
      <w:pPr>
        <w:widowControl w:val="0"/>
        <w:autoSpaceDE w:val="0"/>
        <w:autoSpaceDN w:val="0"/>
        <w:adjustRightInd w:val="0"/>
        <w:spacing w:after="240" w:line="228" w:lineRule="auto"/>
        <w:ind w:left="360"/>
        <w:rPr>
          <w:rFonts w:asciiTheme="minorHAnsi" w:hAnsiTheme="minorHAnsi" w:cstheme="minorHAnsi"/>
          <w:lang w:val="pt-BR"/>
        </w:rPr>
      </w:pPr>
      <w:r>
        <w:rPr>
          <w:rFonts w:cs="Calibri"/>
          <w:lang w:val="pt-BR"/>
        </w:rPr>
        <w:t xml:space="preserve">O Código de Conduta para o Movimento Internacional da Cruz Vermelha e do Crescente Vermelho e organizações não governamentais em socorro a desastres é um conjunto fundamental de princípios orientadores para organizações envolvidas em atividades humanitárias colocarem em prática os princípios humanitários. Adotado em 1994, o Código de Conduta é um conjunto de princípios orientadores para organizações envolvidas em atividades humanitárias e tem como objetivo colocar os princípios humanitários em prática. O Código estabelece dez princípios fundamentais e três anexos com recomendações ao governo dos estados afetados, governos doadores e organizações internacionais. </w:t>
      </w:r>
    </w:p>
    <w:p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240" w:line="228" w:lineRule="auto"/>
        <w:rPr>
          <w:rFonts w:cstheme="minorHAnsi"/>
          <w:lang w:val="pt-BR"/>
        </w:rPr>
      </w:pPr>
      <w:r>
        <w:rPr>
          <w:rFonts w:cs="Calibri"/>
          <w:lang w:val="pt-BR"/>
        </w:rPr>
        <w:t xml:space="preserve">Quais são os princípios fundamentais? </w:t>
      </w:r>
    </w:p>
    <w:p>
      <w:pPr>
        <w:widowControl w:val="0"/>
        <w:autoSpaceDE w:val="0"/>
        <w:autoSpaceDN w:val="0"/>
        <w:adjustRightInd w:val="0"/>
        <w:spacing w:after="240" w:line="228" w:lineRule="auto"/>
        <w:ind w:left="360"/>
        <w:rPr>
          <w:rFonts w:asciiTheme="minorHAnsi" w:hAnsiTheme="minorHAnsi" w:cstheme="minorHAnsi"/>
          <w:lang w:val="pt-BR"/>
        </w:rPr>
      </w:pPr>
      <w:r>
        <w:rPr>
          <w:rFonts w:cs="Calibri"/>
          <w:lang w:val="pt-BR"/>
        </w:rPr>
        <w:t xml:space="preserve">O dever humanitário está em primeiro lugar. O auxílio é dado independentemente da raça, religião ou nacionalidade dos beneficiários e sem nenhum tipo de distinção. As prioridades de auxílio são calculadas apenas com base na necessidade. O auxílio não será usado para promover um ponto de vista político ou religioso. Nós nos esforçaremos para não agir como instrumentos da política externa do governo. Devemos respeitar a cultura e o costume. Devemos tentar criar uma resposta a desastres nas capacidades locais. Deverão ser encontradas maneiras de envolver os beneficiários do programa na gestão de ajuda humanitária. A ajuda humanitária deve se empenhar para reduzir vulnerabilidades futuras a desastres, bem como atender às necessidades básicas. Nós nos responsabilizamos por aqueles que procuramos ajudar e por aqueles de quem aceitamos recursos. Em nossas atividades de informação, divulgação e publicidade, reconheceremos as vítimas de desastres como seres humanos dignos e não como objetos sem esperança. </w:t>
      </w:r>
    </w:p>
    <w:p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240" w:line="228" w:lineRule="auto"/>
        <w:rPr>
          <w:rFonts w:cstheme="minorHAnsi"/>
          <w:lang w:val="pt-BR"/>
        </w:rPr>
      </w:pPr>
      <w:r>
        <w:rPr>
          <w:rFonts w:cs="Calibri"/>
          <w:lang w:val="pt-BR"/>
        </w:rPr>
        <w:t>A quem se aplica o Código de Conduta?</w:t>
      </w:r>
    </w:p>
    <w:p>
      <w:pPr>
        <w:widowControl w:val="0"/>
        <w:autoSpaceDE w:val="0"/>
        <w:autoSpaceDN w:val="0"/>
        <w:adjustRightInd w:val="0"/>
        <w:spacing w:after="240" w:line="228" w:lineRule="auto"/>
        <w:ind w:left="360"/>
        <w:rPr>
          <w:lang w:val="pt-BR"/>
        </w:rPr>
      </w:pPr>
      <w:r>
        <w:rPr>
          <w:rFonts w:cs="Calibri"/>
          <w:lang w:val="pt-BR"/>
        </w:rPr>
        <w:t xml:space="preserve">Mais de 400 organizações o assinaram. Nos acampamentos, também se aplica a líderes e representantes e a qualquer pessoa que ofereça ajuda, incluindo autoridades nacionais ou locais e voluntários. </w:t>
      </w:r>
    </w:p>
    <w:sectPr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Footer"/>
      <w:jc w:val="both"/>
      <w:rPr>
        <w:rFonts w:cs="Calibri"/>
        <w:color w:val="2A87C8"/>
        <w:sz w:val="18"/>
        <w:lang w:val="pt-BR"/>
      </w:rPr>
    </w:pPr>
    <w:r>
      <w:rPr>
        <w:rFonts w:cs="Calibri"/>
        <w:color w:val="2A87C8"/>
        <w:sz w:val="18"/>
        <w:szCs w:val="18"/>
        <w:lang w:val="pt-BR"/>
      </w:rPr>
      <w:t xml:space="preserve">Treinamento CCCM                                           Anexo 3.3 – Questionário do Código de Conduta e respostas www.globalcccmcluster.com </w:t>
    </w:r>
  </w:p>
  <w:sdt>
    <w:sdtPr>
      <w:id w:val="-1862962849"/>
      <w:docPartObj>
        <w:docPartGallery w:val="Page Numbers (Bottom of Page)"/>
        <w:docPartUnique/>
      </w:docPartObj>
    </w:sdtPr>
    <w:sdtEndPr>
      <w:rPr>
        <w:noProof/>
      </w:rPr>
    </w:sdtEndPr>
    <w:sdtContent>
      <w:p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CCCMcontentheading1"/>
      <w:spacing w:before="0" w:after="120"/>
      <w:rPr>
        <w:rFonts w:cs="Calibri"/>
        <w:color w:val="2A87C8"/>
        <w:sz w:val="44"/>
        <w:szCs w:val="44"/>
        <w:lang w:val="pt-BR"/>
      </w:rPr>
    </w:pPr>
    <w:r>
      <w:rPr>
        <w:rFonts w:eastAsia="Calibri" w:cs="Calibri"/>
        <w:color w:val="2A87C8"/>
        <w:sz w:val="36"/>
        <w:szCs w:val="36"/>
        <w:lang w:val="pt-BR"/>
      </w:rPr>
      <w:t>Questionário do CÓDIGO de conduta e respostas</w:t>
    </w:r>
    <w:r>
      <w:rPr>
        <w:rFonts w:eastAsia="Calibri" w:cs="Calibri"/>
        <w:color w:val="2A87C8"/>
        <w:sz w:val="36"/>
        <w:szCs w:val="36"/>
        <w:lang w:val="pt-BR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F44364"/>
    <w:multiLevelType w:val="hybridMultilevel"/>
    <w:tmpl w:val="2AE4E5AC"/>
    <w:lvl w:ilvl="0" w:tplc="FE14099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91E536C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B37E8F8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576C90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EA88EC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CE4648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D14E80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60242B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698B24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1797482"/>
    <w:multiLevelType w:val="hybridMultilevel"/>
    <w:tmpl w:val="EAC29F38"/>
    <w:lvl w:ilvl="0" w:tplc="472A8A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3B6B09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BA262F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BEE268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94A6E0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3FE943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FBC54E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666B2C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B56F05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02F70AE"/>
    <w:multiLevelType w:val="hybridMultilevel"/>
    <w:tmpl w:val="2D381C54"/>
    <w:lvl w:ilvl="0" w:tplc="FB84AB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FA151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498236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B5A411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B6A551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AA6EDCB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7004E2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F70FB5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6ABAE90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A943C4F"/>
    <w:multiLevelType w:val="hybridMultilevel"/>
    <w:tmpl w:val="C06A4D9A"/>
    <w:lvl w:ilvl="0" w:tplc="04F68F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CD2392E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A32019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2CED71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232A38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9644412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99253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FCECFF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5841D4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95A7AAE"/>
    <w:multiLevelType w:val="hybridMultilevel"/>
    <w:tmpl w:val="6B5E8F40"/>
    <w:lvl w:ilvl="0" w:tplc="85C2D43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C8658D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36337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D34446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C40303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0D256C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62456A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4FCFD4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63E828D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ascii="Calibri" w:eastAsia="Calibri" w:hAnsi="Calibri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Calibri" w:eastAsia="Calibri" w:hAnsi="Calibri" w:cs="Times New Roman"/>
      <w:sz w:val="20"/>
      <w:szCs w:val="20"/>
      <w:lang w:val="en-GB"/>
    </w:rPr>
  </w:style>
  <w:style w:type="character" w:styleId="Hyperlink">
    <w:name w:val="Hyperlink"/>
    <w:uiPriority w:val="99"/>
    <w:unhideWhenUsed/>
    <w:rPr>
      <w:color w:val="0563C1"/>
      <w:u w:val="single"/>
    </w:rPr>
  </w:style>
  <w:style w:type="paragraph" w:styleId="ListParagraph">
    <w:name w:val="List Paragraph"/>
    <w:aliases w:val="Premier"/>
    <w:basedOn w:val="Normal"/>
    <w:link w:val="ListParagraphChar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Premier Char"/>
    <w:basedOn w:val="DefaultParagraphFont"/>
    <w:link w:val="ListParagraph"/>
    <w:uiPriority w:val="34"/>
    <w:rPr>
      <w:rFonts w:ascii="Calibri" w:eastAsia="Calibri" w:hAnsi="Calibri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="Calibr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Calibri" w:eastAsia="Calibri" w:hAnsi="Calibri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sz w:val="24"/>
      <w:szCs w:val="24"/>
      <w:lang w:val="en-GB"/>
    </w:rPr>
  </w:style>
  <w:style w:type="paragraph" w:customStyle="1" w:styleId="CCCMcontentheading1">
    <w:name w:val="CCCM_content_heading1"/>
    <w:basedOn w:val="Heading1"/>
    <w:next w:val="Normal"/>
    <w:qFormat/>
    <w:pPr>
      <w:pBdr>
        <w:bottom w:val="single" w:sz="2" w:space="1" w:color="4BA6DD"/>
      </w:pBdr>
      <w:spacing w:before="360" w:after="240"/>
    </w:pPr>
    <w:rPr>
      <w:rFonts w:ascii="Calibri" w:eastAsia="Times New Roman" w:hAnsi="Calibri" w:cs="Times New Roman"/>
      <w:b/>
      <w:bCs/>
      <w:caps/>
      <w:color w:val="0077C0"/>
      <w:spacing w:val="8"/>
      <w:sz w:val="40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4d2685e0-3ec3-4526-a337-bc02c6b3961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11F0AB4D861F4989F82902B990608D" ma:contentTypeVersion="11" ma:contentTypeDescription="Create a new document." ma:contentTypeScope="" ma:versionID="2ef782eddbab00ccf93dbf903bc501e4">
  <xsd:schema xmlns:xsd="http://www.w3.org/2001/XMLSchema" xmlns:xs="http://www.w3.org/2001/XMLSchema" xmlns:p="http://schemas.microsoft.com/office/2006/metadata/properties" xmlns:ns2="4d2685e0-3ec3-4526-a337-bc02c6b3961c" xmlns:ns3="72eb3475-e0f4-42fd-ab5c-abe08d673cdb" targetNamespace="http://schemas.microsoft.com/office/2006/metadata/properties" ma:root="true" ma:fieldsID="7c26a57195524376ee1e0a67bd2b6c5d" ns2:_="" ns3:_="">
    <xsd:import namespace="4d2685e0-3ec3-4526-a337-bc02c6b3961c"/>
    <xsd:import namespace="72eb3475-e0f4-42fd-ab5c-abe08d673c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OCR" minOccurs="0"/>
                <xsd:element ref="ns2:Comment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2685e0-3ec3-4526-a337-bc02c6b396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Comments" ma:index="16" nillable="true" ma:displayName="Comments" ma:format="Dropdown" ma:internalName="Comments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eb3475-e0f4-42fd-ab5c-abe08d673cdb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8ADBD7-D414-4149-91EA-6E6EB300B6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4385A4-1689-496D-92F5-51EBCC03AA23}">
  <ds:schemaRefs>
    <ds:schemaRef ds:uri="http://purl.org/dc/dcmitype/"/>
    <ds:schemaRef ds:uri="4d2685e0-3ec3-4526-a337-bc02c6b3961c"/>
    <ds:schemaRef ds:uri="72eb3475-e0f4-42fd-ab5c-abe08d673cdb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DAA1385-A55F-4EAF-B13F-18991552DEB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US0823953</dc:title>
  <dc:creator/>
  <cp:lastModifiedBy/>
  <cp:revision>3</cp:revision>
  <dcterms:created xsi:type="dcterms:W3CDTF">2019-01-18T15:44:00Z</dcterms:created>
  <dcterms:modified xsi:type="dcterms:W3CDTF">2020-11-03T21:51:00Z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0x0101002311F0AB4D861F4989F82902B990608D</vt:lpwstr>
  </property>
</Properties>
</file>