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A3223" w14:textId="77777777" w:rsidR="00AC6BE7" w:rsidRDefault="00F64DD6">
      <w:pPr>
        <w:spacing w:line="276" w:lineRule="auto"/>
        <w:rPr>
          <w:rFonts w:asciiTheme="minorHAnsi" w:hAnsiTheme="minorHAnsi" w:cs="Calibri"/>
          <w:b/>
          <w:color w:val="5B9BD5"/>
          <w:sz w:val="44"/>
          <w:szCs w:val="44"/>
          <w:lang w:val="pt-BR"/>
        </w:rPr>
      </w:pPr>
      <w:bookmarkStart w:id="0" w:name="_Hlk522527111"/>
      <w:bookmarkStart w:id="1" w:name="_GoBack"/>
      <w:bookmarkEnd w:id="1"/>
      <w:r>
        <w:rPr>
          <w:rFonts w:cs="Calibri"/>
          <w:b/>
          <w:bCs/>
          <w:color w:val="5B9BD5"/>
          <w:sz w:val="44"/>
          <w:szCs w:val="44"/>
          <w:lang w:val="pt-BR"/>
        </w:rPr>
        <w:t>MÓDULO 3</w:t>
      </w:r>
    </w:p>
    <w:p w14:paraId="533A3224" w14:textId="77777777" w:rsidR="00AC6BE7" w:rsidRDefault="00F64DD6">
      <w:pPr>
        <w:spacing w:line="276" w:lineRule="auto"/>
        <w:rPr>
          <w:rFonts w:asciiTheme="minorHAnsi" w:hAnsiTheme="minorHAnsi" w:cs="Calibri"/>
          <w:b/>
          <w:color w:val="5B9BD5"/>
          <w:sz w:val="44"/>
          <w:szCs w:val="44"/>
          <w:lang w:val="pt-BR"/>
        </w:rPr>
      </w:pPr>
      <w:r>
        <w:rPr>
          <w:rFonts w:cs="Calibri"/>
          <w:b/>
          <w:bCs/>
          <w:color w:val="5B9BD5"/>
          <w:sz w:val="44"/>
          <w:szCs w:val="44"/>
          <w:lang w:val="pt-BR"/>
        </w:rPr>
        <w:t xml:space="preserve">Princípios Humanitários e Códigos de Conduta </w:t>
      </w:r>
    </w:p>
    <w:p w14:paraId="533A3225" w14:textId="77777777" w:rsidR="00AC6BE7" w:rsidRDefault="00AC6BE7">
      <w:pPr>
        <w:spacing w:line="276" w:lineRule="auto"/>
        <w:rPr>
          <w:rFonts w:asciiTheme="minorHAnsi" w:hAnsiTheme="minorHAnsi" w:cs="Calibri"/>
          <w:b/>
          <w:sz w:val="36"/>
          <w:szCs w:val="36"/>
          <w:lang w:val="pt-BR"/>
        </w:rPr>
      </w:pPr>
    </w:p>
    <w:p w14:paraId="533A3226" w14:textId="77777777" w:rsidR="00AC6BE7" w:rsidRDefault="00F64DD6">
      <w:pPr>
        <w:spacing w:line="276" w:lineRule="auto"/>
        <w:rPr>
          <w:rFonts w:asciiTheme="minorHAnsi" w:hAnsiTheme="minorHAnsi" w:cs="Calibri"/>
          <w:b/>
          <w:color w:val="2A87C8"/>
          <w:sz w:val="28"/>
          <w:szCs w:val="28"/>
          <w:lang w:val="pt-BR"/>
        </w:rPr>
      </w:pPr>
      <w:r>
        <w:rPr>
          <w:rFonts w:cs="Calibri"/>
          <w:b/>
          <w:bCs/>
          <w:color w:val="2A87C8"/>
          <w:sz w:val="28"/>
          <w:szCs w:val="28"/>
          <w:lang w:val="pt-BR"/>
        </w:rPr>
        <w:t>Conteúdo</w:t>
      </w:r>
    </w:p>
    <w:p w14:paraId="533A3227" w14:textId="77777777" w:rsidR="00AC6BE7" w:rsidRDefault="00F64DD6">
      <w:pPr>
        <w:pStyle w:val="ListParagraph"/>
        <w:numPr>
          <w:ilvl w:val="1"/>
          <w:numId w:val="3"/>
        </w:numPr>
        <w:spacing w:line="276" w:lineRule="auto"/>
        <w:rPr>
          <w:rFonts w:asciiTheme="minorHAnsi" w:hAnsiTheme="minorHAnsi" w:cs="Calibri"/>
          <w:b/>
          <w:lang w:val="pt-BR"/>
        </w:rPr>
      </w:pPr>
      <w:r>
        <w:rPr>
          <w:rFonts w:cs="Calibri"/>
          <w:b/>
          <w:bCs/>
          <w:lang w:val="pt-BR"/>
        </w:rPr>
        <w:t>Introdução</w:t>
      </w:r>
    </w:p>
    <w:p w14:paraId="533A3228" w14:textId="77777777" w:rsidR="00AC6BE7" w:rsidRDefault="00F64DD6">
      <w:pPr>
        <w:pStyle w:val="ListParagraph"/>
        <w:numPr>
          <w:ilvl w:val="1"/>
          <w:numId w:val="3"/>
        </w:numPr>
        <w:spacing w:line="276" w:lineRule="auto"/>
        <w:rPr>
          <w:rFonts w:asciiTheme="minorHAnsi" w:hAnsiTheme="minorHAnsi" w:cs="Calibri"/>
          <w:b/>
          <w:lang w:val="pt-BR"/>
        </w:rPr>
      </w:pPr>
      <w:r>
        <w:rPr>
          <w:rFonts w:cs="Calibri"/>
          <w:b/>
          <w:bCs/>
          <w:lang w:val="pt-BR"/>
        </w:rPr>
        <w:t>Objetivos de aprendizagem</w:t>
      </w:r>
    </w:p>
    <w:p w14:paraId="533A3229" w14:textId="77777777" w:rsidR="00AC6BE7" w:rsidRDefault="00F64DD6">
      <w:pPr>
        <w:pStyle w:val="ListParagraph"/>
        <w:numPr>
          <w:ilvl w:val="1"/>
          <w:numId w:val="3"/>
        </w:numPr>
        <w:spacing w:line="276" w:lineRule="auto"/>
        <w:rPr>
          <w:rFonts w:asciiTheme="minorHAnsi" w:hAnsiTheme="minorHAnsi" w:cs="Calibri"/>
          <w:b/>
          <w:lang w:val="pt-BR"/>
        </w:rPr>
      </w:pPr>
      <w:r>
        <w:rPr>
          <w:rFonts w:cs="Calibri"/>
          <w:b/>
          <w:bCs/>
          <w:lang w:val="pt-BR"/>
        </w:rPr>
        <w:t>Informações básicas</w:t>
      </w:r>
    </w:p>
    <w:p w14:paraId="533A322A" w14:textId="77777777" w:rsidR="00AC6BE7" w:rsidRDefault="00F64DD6">
      <w:pPr>
        <w:pStyle w:val="ListParagraph"/>
        <w:numPr>
          <w:ilvl w:val="1"/>
          <w:numId w:val="3"/>
        </w:numPr>
        <w:spacing w:line="276" w:lineRule="auto"/>
        <w:rPr>
          <w:rFonts w:asciiTheme="minorHAnsi" w:hAnsiTheme="minorHAnsi" w:cs="Calibri"/>
          <w:b/>
          <w:lang w:val="pt-BR"/>
        </w:rPr>
      </w:pPr>
      <w:r>
        <w:rPr>
          <w:rFonts w:cs="Calibri"/>
          <w:b/>
          <w:bCs/>
          <w:lang w:val="pt-BR"/>
        </w:rPr>
        <w:t>Referências e ferramentas</w:t>
      </w:r>
    </w:p>
    <w:p w14:paraId="533A322B" w14:textId="77777777" w:rsidR="00AC6BE7" w:rsidRDefault="00F64DD6">
      <w:pPr>
        <w:pStyle w:val="ListParagraph"/>
        <w:numPr>
          <w:ilvl w:val="1"/>
          <w:numId w:val="3"/>
        </w:numPr>
        <w:spacing w:line="276" w:lineRule="auto"/>
        <w:rPr>
          <w:rFonts w:asciiTheme="minorHAnsi" w:hAnsiTheme="minorHAnsi" w:cs="Calibri"/>
          <w:b/>
          <w:lang w:val="pt-BR"/>
        </w:rPr>
      </w:pPr>
      <w:r>
        <w:rPr>
          <w:rFonts w:cs="Calibri"/>
          <w:b/>
          <w:bCs/>
          <w:lang w:val="pt-BR"/>
        </w:rPr>
        <w:t>Acompanhamento operacional</w:t>
      </w:r>
      <w:bookmarkEnd w:id="0"/>
    </w:p>
    <w:p w14:paraId="533A322C" w14:textId="77777777" w:rsidR="00AC6BE7" w:rsidRDefault="00AC6BE7">
      <w:pPr>
        <w:spacing w:line="276" w:lineRule="auto"/>
        <w:rPr>
          <w:rFonts w:asciiTheme="minorHAnsi" w:hAnsiTheme="minorHAnsi" w:cs="Calibri"/>
          <w:b/>
          <w:sz w:val="22"/>
          <w:szCs w:val="22"/>
          <w:lang w:val="pt-BR"/>
        </w:rPr>
      </w:pPr>
    </w:p>
    <w:p w14:paraId="533A322D" w14:textId="77777777" w:rsidR="00AC6BE7" w:rsidRDefault="00F64DD6">
      <w:pPr>
        <w:rPr>
          <w:rStyle w:val="normaltextrun"/>
          <w:rFonts w:asciiTheme="minorHAnsi" w:hAnsiTheme="minorHAnsi" w:cs="Calibri"/>
          <w:b/>
          <w:bCs/>
          <w:color w:val="2A87C8"/>
          <w:sz w:val="28"/>
          <w:szCs w:val="28"/>
          <w:lang w:val="pt-BR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Introdução</w:t>
      </w:r>
    </w:p>
    <w:p w14:paraId="533A322E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 xml:space="preserve">Este módulo fornece a base ética para todo o trabalho humanitário, ao explorar os princípios humanitários da humanidade, neutralidade, imparcialidade e independência operacional como uma estrutura na qual os agentes de gestão de acampamentos devem operar, </w:t>
      </w:r>
      <w:r>
        <w:rPr>
          <w:rFonts w:cs="Calibri"/>
          <w:lang w:val="pt-BR"/>
        </w:rPr>
        <w:t xml:space="preserve">inclusive em situações desafiadoras em que é necessário equilíbrio entre os princípios. </w:t>
      </w:r>
    </w:p>
    <w:p w14:paraId="533A322F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30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O módulo também apresenta os Princípios de Proteção com foco em Não Causar Danos. O módulo também explora a relevância dos Códigos de Conduta (CoC) como um meio de co</w:t>
      </w:r>
      <w:r>
        <w:rPr>
          <w:rFonts w:cs="Calibri"/>
          <w:lang w:val="pt-BR"/>
        </w:rPr>
        <w:t xml:space="preserve">locar em prática os Princípios Humanitários e de Proteção. </w:t>
      </w:r>
    </w:p>
    <w:p w14:paraId="533A3231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32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 xml:space="preserve">Ligado aos Códigos de Conduta, o módulo desenvolve a conscientização sobre Exploração e Abuso Sexuais e maneiras práticas de prevenir e responder a eles em acampamentos e estruturas </w:t>
      </w:r>
      <w:r>
        <w:rPr>
          <w:rFonts w:cs="Calibri"/>
          <w:lang w:val="pt-BR"/>
        </w:rPr>
        <w:t>semelhantes a acampamentos.</w:t>
      </w:r>
    </w:p>
    <w:p w14:paraId="533A3233" w14:textId="77777777" w:rsidR="00AC6BE7" w:rsidRDefault="00AC6BE7">
      <w:pPr>
        <w:jc w:val="both"/>
        <w:rPr>
          <w:rFonts w:asciiTheme="minorHAnsi" w:hAnsiTheme="minorHAnsi" w:cs="Calibri"/>
          <w:szCs w:val="28"/>
          <w:lang w:val="pt-BR"/>
        </w:rPr>
      </w:pPr>
    </w:p>
    <w:p w14:paraId="533A3234" w14:textId="77777777" w:rsidR="00AC6BE7" w:rsidRDefault="00F64DD6">
      <w:pPr>
        <w:rPr>
          <w:rStyle w:val="normaltextrun"/>
          <w:rFonts w:asciiTheme="minorHAnsi" w:hAnsiTheme="minorHAnsi" w:cs="Calibri"/>
          <w:b/>
          <w:bCs/>
          <w:color w:val="2A87C8"/>
          <w:sz w:val="28"/>
          <w:szCs w:val="28"/>
          <w:lang w:val="pt-BR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Objetivos de aprendizagem</w:t>
      </w:r>
    </w:p>
    <w:p w14:paraId="533A3235" w14:textId="77777777" w:rsidR="00AC6BE7" w:rsidRDefault="00F64DD6">
      <w:pPr>
        <w:pStyle w:val="ListParagraph"/>
        <w:numPr>
          <w:ilvl w:val="0"/>
          <w:numId w:val="4"/>
        </w:numPr>
        <w:rPr>
          <w:rFonts w:asciiTheme="minorHAnsi" w:hAnsiTheme="minorHAnsi" w:cs="Calibri"/>
          <w:bCs/>
          <w:color w:val="000000"/>
          <w:lang w:val="pt-BR"/>
        </w:rPr>
      </w:pPr>
      <w:r>
        <w:rPr>
          <w:rFonts w:cs="Calibri"/>
          <w:bCs/>
          <w:color w:val="000000"/>
          <w:lang w:val="pt-BR"/>
        </w:rPr>
        <w:t xml:space="preserve">Explicar os Princípios Humanitários fundamentais e Não Causar Danos e identificar os dilemas que podem ser enfrentados em acampamentos e estruturas semelhantes a acampamentos.  </w:t>
      </w:r>
    </w:p>
    <w:p w14:paraId="533A3236" w14:textId="77777777" w:rsidR="00AC6BE7" w:rsidRDefault="00F64DD6">
      <w:pPr>
        <w:pStyle w:val="ListParagraph"/>
        <w:numPr>
          <w:ilvl w:val="0"/>
          <w:numId w:val="4"/>
        </w:numPr>
        <w:rPr>
          <w:rFonts w:asciiTheme="minorHAnsi" w:hAnsiTheme="minorHAnsi" w:cs="Calibri"/>
          <w:bCs/>
          <w:color w:val="000000"/>
          <w:lang w:val="pt-BR"/>
        </w:rPr>
      </w:pPr>
      <w:r>
        <w:rPr>
          <w:rFonts w:cs="Calibri"/>
          <w:bCs/>
          <w:color w:val="000000"/>
          <w:lang w:val="pt-BR"/>
        </w:rPr>
        <w:t>Ilustre como aplicar os</w:t>
      </w:r>
      <w:r>
        <w:rPr>
          <w:rFonts w:cs="Calibri"/>
          <w:bCs/>
          <w:color w:val="000000"/>
          <w:lang w:val="pt-BR"/>
        </w:rPr>
        <w:t xml:space="preserve"> Princípios Humanitários e Não Causar Danos em uma resposta de acampamento. </w:t>
      </w:r>
    </w:p>
    <w:p w14:paraId="533A3237" w14:textId="77777777" w:rsidR="00AC6BE7" w:rsidRDefault="00F64DD6">
      <w:pPr>
        <w:pStyle w:val="ListParagraph"/>
        <w:numPr>
          <w:ilvl w:val="0"/>
          <w:numId w:val="4"/>
        </w:numPr>
        <w:rPr>
          <w:rFonts w:asciiTheme="minorHAnsi" w:hAnsiTheme="minorHAnsi" w:cs="Calibri"/>
          <w:bCs/>
          <w:color w:val="000000"/>
          <w:lang w:val="pt-BR"/>
        </w:rPr>
      </w:pPr>
      <w:r>
        <w:rPr>
          <w:rFonts w:cs="Calibri"/>
          <w:bCs/>
          <w:color w:val="000000"/>
          <w:lang w:val="pt-BR"/>
        </w:rPr>
        <w:t xml:space="preserve">Explicar o Código de Conduta como uma ferramenta para responsabilidade. </w:t>
      </w:r>
    </w:p>
    <w:p w14:paraId="533A3238" w14:textId="77777777" w:rsidR="00AC6BE7" w:rsidRDefault="00F64DD6">
      <w:pPr>
        <w:pStyle w:val="ListParagraph"/>
        <w:numPr>
          <w:ilvl w:val="0"/>
          <w:numId w:val="4"/>
        </w:numPr>
        <w:rPr>
          <w:rFonts w:asciiTheme="minorHAnsi" w:hAnsiTheme="minorHAnsi" w:cs="Calibri"/>
          <w:bCs/>
          <w:color w:val="000000"/>
          <w:lang w:val="pt-BR"/>
        </w:rPr>
      </w:pPr>
      <w:r>
        <w:rPr>
          <w:rFonts w:cs="Calibri"/>
          <w:bCs/>
          <w:color w:val="000000"/>
          <w:lang w:val="pt-BR"/>
        </w:rPr>
        <w:t>Refletir sobre como usar um Código de Conduta em situações de resposta a acampamentos com base nos Princíp</w:t>
      </w:r>
      <w:r>
        <w:rPr>
          <w:rFonts w:cs="Calibri"/>
          <w:bCs/>
          <w:color w:val="000000"/>
          <w:lang w:val="pt-BR"/>
        </w:rPr>
        <w:t>ios Humanitários e de Proteção.</w:t>
      </w:r>
    </w:p>
    <w:p w14:paraId="533A3239" w14:textId="77777777" w:rsidR="00AC6BE7" w:rsidRDefault="00F64DD6">
      <w:pPr>
        <w:pStyle w:val="ListParagraph"/>
        <w:numPr>
          <w:ilvl w:val="0"/>
          <w:numId w:val="4"/>
        </w:numPr>
        <w:rPr>
          <w:rFonts w:asciiTheme="minorHAnsi" w:hAnsiTheme="minorHAnsi" w:cs="Calibri"/>
          <w:lang w:val="pt-BR"/>
        </w:rPr>
      </w:pPr>
      <w:r>
        <w:rPr>
          <w:rFonts w:cs="Calibri"/>
          <w:bCs/>
          <w:color w:val="000000"/>
          <w:lang w:val="pt-BR"/>
        </w:rPr>
        <w:t>Defina exploração e abuso sexual e identifique como mitigar e responder a esses fatos em um contexto de acampamento ou semelhante a acampamentos.</w:t>
      </w:r>
    </w:p>
    <w:p w14:paraId="533A323A" w14:textId="77777777" w:rsidR="00AC6BE7" w:rsidRDefault="00AC6BE7">
      <w:pPr>
        <w:rPr>
          <w:rFonts w:asciiTheme="minorHAnsi" w:hAnsiTheme="minorHAnsi" w:cs="Calibri"/>
          <w:lang w:val="pt-BR"/>
        </w:rPr>
      </w:pPr>
    </w:p>
    <w:p w14:paraId="533A323B" w14:textId="77777777" w:rsidR="00AC6BE7" w:rsidRDefault="00F64DD6">
      <w:pPr>
        <w:ind w:right="-46"/>
        <w:jc w:val="both"/>
        <w:rPr>
          <w:rStyle w:val="normaltextrun"/>
          <w:rFonts w:asciiTheme="minorHAnsi" w:hAnsiTheme="minorHAnsi" w:cs="Calibri"/>
          <w:b/>
          <w:bCs/>
          <w:color w:val="2A87C8"/>
          <w:sz w:val="28"/>
          <w:szCs w:val="28"/>
          <w:lang w:val="pt-BR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Informações básicas</w:t>
      </w:r>
    </w:p>
    <w:p w14:paraId="533A323C" w14:textId="77777777" w:rsidR="00AC6BE7" w:rsidRDefault="00AC6BE7">
      <w:pPr>
        <w:ind w:right="-46"/>
        <w:jc w:val="both"/>
        <w:rPr>
          <w:rFonts w:asciiTheme="minorHAnsi" w:hAnsiTheme="minorHAnsi" w:cs="Calibri"/>
          <w:b/>
          <w:bCs/>
          <w:color w:val="2A87C8"/>
          <w:lang w:val="pt-BR"/>
        </w:rPr>
      </w:pPr>
    </w:p>
    <w:p w14:paraId="533A323D" w14:textId="77777777" w:rsidR="00AC6BE7" w:rsidRDefault="00F64DD6">
      <w:pPr>
        <w:jc w:val="both"/>
        <w:rPr>
          <w:rFonts w:asciiTheme="minorHAnsi" w:hAnsiTheme="minorHAnsi" w:cs="Calibri"/>
          <w:b/>
          <w:color w:val="2A87C8"/>
          <w:lang w:val="pt-BR"/>
        </w:rPr>
      </w:pPr>
      <w:r>
        <w:rPr>
          <w:rFonts w:cs="Calibri"/>
          <w:b/>
          <w:bCs/>
          <w:color w:val="2A87C8"/>
          <w:lang w:val="pt-BR"/>
        </w:rPr>
        <w:t>Origem dos Princípios Humanitários</w:t>
      </w:r>
    </w:p>
    <w:p w14:paraId="533A323E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lastRenderedPageBreak/>
        <w:t>Os Princípios Humanit</w:t>
      </w:r>
      <w:r>
        <w:rPr>
          <w:rFonts w:cs="Calibri"/>
          <w:lang w:val="pt-BR"/>
        </w:rPr>
        <w:t xml:space="preserve">ários da humanidade, imparcialidade, independência e neutralidade são derivados dos Princípios Fundamentais do Movimento Internacional da Cruz Vermelha e do Crescente Vermelho e das resoluções 46/182 de 19 de dezembro de 1991 e 58/114 de 5 de fevereiro de </w:t>
      </w:r>
      <w:r>
        <w:rPr>
          <w:rFonts w:cs="Calibri"/>
          <w:lang w:val="pt-BR"/>
        </w:rPr>
        <w:t>2004 da Assembleia Geral das Nações Unidas.</w:t>
      </w:r>
    </w:p>
    <w:p w14:paraId="533A323F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40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 xml:space="preserve">A Cruz Vermelha codificou pela primeira vez os Princípios Humanitários em 1965 para legitimar e apoiar o envolvimento do Movimento em situações de conflito. Em geral, a estrutura reflete as obrigações previstas </w:t>
      </w:r>
      <w:r>
        <w:rPr>
          <w:rFonts w:cs="Calibri"/>
          <w:lang w:val="pt-BR"/>
        </w:rPr>
        <w:t xml:space="preserve">no Direito Internacional de proteger os cidadãos afetados por conflitos armados e prestar assistência, incluindo a Quarta Convenção de Genebra (1949) e seções do Protocolo Adicional 1 (1979). </w:t>
      </w:r>
    </w:p>
    <w:p w14:paraId="533A3241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42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Os três primeiros princípios (humanidade, neutralidade e impar</w:t>
      </w:r>
      <w:r>
        <w:rPr>
          <w:rFonts w:cs="Calibri"/>
          <w:lang w:val="pt-BR"/>
        </w:rPr>
        <w:t>cialidade) são endossados na resolução 46/182 da Assembleia Geral, que foi adotada em 1991. A resolução 58/114 (2004) da Assembleia Geral acrescentou a independência como um quarto princípio fundamental subjacente à ação humanitária. A Assembleia Geral rea</w:t>
      </w:r>
      <w:r>
        <w:rPr>
          <w:rFonts w:cs="Calibri"/>
          <w:lang w:val="pt-BR"/>
        </w:rPr>
        <w:t>firmou repetidamente a importância de promover e respeitar esses princípios dentro da estrutura de assistência humanitária.</w:t>
      </w:r>
    </w:p>
    <w:p w14:paraId="533A3243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44" w14:textId="77777777" w:rsidR="00AC6BE7" w:rsidRDefault="00F64DD6">
      <w:pPr>
        <w:jc w:val="both"/>
        <w:rPr>
          <w:rFonts w:asciiTheme="minorHAnsi" w:hAnsiTheme="minorHAnsi" w:cs="Calibri"/>
          <w:b/>
          <w:color w:val="2A87C8"/>
          <w:lang w:val="pt-BR"/>
        </w:rPr>
      </w:pPr>
      <w:r>
        <w:rPr>
          <w:rFonts w:cs="Calibri"/>
          <w:b/>
          <w:bCs/>
          <w:color w:val="2A87C8"/>
          <w:cs/>
          <w:lang w:val="pt-BR"/>
        </w:rPr>
        <w:t>‎</w:t>
      </w:r>
      <w:r>
        <w:rPr>
          <w:rFonts w:cs="Calibri"/>
          <w:b/>
          <w:bCs/>
          <w:color w:val="2A87C8"/>
          <w:rtl/>
          <w:cs/>
          <w:lang w:val="pt-BR"/>
        </w:rPr>
        <w:t>Princípios humanitários: humanidade, neutralidade, imparcialidade e independência</w:t>
      </w:r>
    </w:p>
    <w:p w14:paraId="533A3245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b/>
          <w:bCs/>
          <w:lang w:val="pt-BR"/>
        </w:rPr>
        <w:t>Humanidade:</w:t>
      </w:r>
      <w:r>
        <w:rPr>
          <w:rFonts w:cs="Calibri"/>
          <w:lang w:val="pt-BR"/>
        </w:rPr>
        <w:t xml:space="preserve"> o sofrimento humano deve ser tratado onde quer que seja encontrado. O propósito da ação humanitária é a proteção da vida e da saúde, bem como garantir o respeito aos seres humanos. </w:t>
      </w:r>
    </w:p>
    <w:p w14:paraId="533A3246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47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b/>
          <w:bCs/>
          <w:lang w:val="pt-BR"/>
        </w:rPr>
        <w:t>Neutralidade:</w:t>
      </w:r>
      <w:r>
        <w:rPr>
          <w:rFonts w:cs="Calibri"/>
          <w:lang w:val="pt-BR"/>
        </w:rPr>
        <w:t xml:space="preserve"> a prestação de assistência humanitária, sem se envolver em</w:t>
      </w:r>
      <w:r>
        <w:rPr>
          <w:rFonts w:cs="Calibri"/>
          <w:lang w:val="pt-BR"/>
        </w:rPr>
        <w:t xml:space="preserve"> hostilidades ou tomar partido em controvérsias de natureza política, religiosa ou ideológica. </w:t>
      </w:r>
    </w:p>
    <w:p w14:paraId="533A3248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49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b/>
          <w:bCs/>
          <w:lang w:val="pt-BR"/>
        </w:rPr>
        <w:t>Imparcialidade:</w:t>
      </w:r>
      <w:r>
        <w:rPr>
          <w:rFonts w:cs="Calibri"/>
          <w:lang w:val="pt-BR"/>
        </w:rPr>
        <w:t xml:space="preserve"> a prestação de assistência humanitária sem discriminação entre os destinatários e orientada exclusivamente pelas necessidades, com prioridade d</w:t>
      </w:r>
      <w:r>
        <w:rPr>
          <w:rFonts w:cs="Calibri"/>
          <w:lang w:val="pt-BR"/>
        </w:rPr>
        <w:t>ada aos casos mais urgentes de sofrimento. A ação humanitária deve ser realizada apenas com base na necessidade, dando prioridade aos casos mais urgentes de sofrimento e não fazendo distinção com base na nacionalidade, raça, gênero, crenças religiosas, cla</w:t>
      </w:r>
      <w:r>
        <w:rPr>
          <w:rFonts w:cs="Calibri"/>
          <w:lang w:val="pt-BR"/>
        </w:rPr>
        <w:t xml:space="preserve">sse ou opinião política. </w:t>
      </w:r>
    </w:p>
    <w:p w14:paraId="533A324A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4B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b/>
          <w:bCs/>
          <w:lang w:val="pt-BR"/>
        </w:rPr>
        <w:t>Independência operacional:</w:t>
      </w:r>
      <w:r>
        <w:rPr>
          <w:rFonts w:cs="Calibri"/>
          <w:lang w:val="pt-BR"/>
        </w:rPr>
        <w:t xml:space="preserve"> a prestação de assistência humanitária com base em políticas formuladas e implementadas independentemente das partes envolvidas no conflito, ou partes que têm participação no resultado. A ação humanitár</w:t>
      </w:r>
      <w:r>
        <w:rPr>
          <w:rFonts w:cs="Calibri"/>
          <w:lang w:val="pt-BR"/>
        </w:rPr>
        <w:t xml:space="preserve">ia deve ser autônoma dos objetivos políticos, econômicos, militares ou outros objetivos que qualquer agente possa ter em relação às áreas onde a ação humanitária está sendo implementada. </w:t>
      </w:r>
    </w:p>
    <w:p w14:paraId="533A324C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4D" w14:textId="77777777" w:rsidR="00AC6BE7" w:rsidRDefault="00F64DD6">
      <w:pPr>
        <w:jc w:val="both"/>
        <w:rPr>
          <w:rFonts w:asciiTheme="minorHAnsi" w:hAnsiTheme="minorHAnsi" w:cs="Calibri"/>
          <w:b/>
          <w:color w:val="2A87C8"/>
          <w:lang w:val="pt-BR"/>
        </w:rPr>
      </w:pPr>
      <w:r>
        <w:rPr>
          <w:rFonts w:cs="Calibri"/>
          <w:b/>
          <w:bCs/>
          <w:color w:val="2A87C8"/>
          <w:lang w:val="pt-BR"/>
        </w:rPr>
        <w:t xml:space="preserve">Estrutura operacional, orientação de ação humanitária: </w:t>
      </w:r>
      <w:r>
        <w:rPr>
          <w:rFonts w:cs="Calibri"/>
          <w:b/>
          <w:bCs/>
          <w:color w:val="2A87C8"/>
          <w:lang w:val="pt-BR"/>
        </w:rPr>
        <w:t>Abordar dilemas ao operacionalizar os Princípios Humanitários</w:t>
      </w:r>
    </w:p>
    <w:p w14:paraId="533A324E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A ação humanitária quase sempre ocorre em ambientes políticos e militarizados complexos. Portanto, a adesão aos Princípios Humanitários é essencial para distinguir a ação humanitária das ativida</w:t>
      </w:r>
      <w:r>
        <w:rPr>
          <w:rFonts w:cs="Calibri"/>
          <w:lang w:val="pt-BR"/>
        </w:rPr>
        <w:t xml:space="preserve">des e dos objetos políticos, militares e outros agentes. Os Princípios Humanitários foram integrados em estruturas desenvolvidas por organizações humanitárias para orientá-los em seu </w:t>
      </w:r>
      <w:r>
        <w:rPr>
          <w:rFonts w:cs="Calibri"/>
          <w:lang w:val="pt-BR"/>
        </w:rPr>
        <w:lastRenderedPageBreak/>
        <w:t xml:space="preserve">trabalho diário. Exemplos incluem Códigos de Conduta e o Projeto Sphere. </w:t>
      </w:r>
      <w:r>
        <w:rPr>
          <w:rFonts w:cs="Calibri"/>
          <w:lang w:val="pt-BR"/>
        </w:rPr>
        <w:t xml:space="preserve">Muitas ONGs também incorporaram os Princípios em suas políticas e procedimentos. </w:t>
      </w:r>
    </w:p>
    <w:p w14:paraId="533A324F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50" w14:textId="77777777" w:rsidR="00AC6BE7" w:rsidRDefault="00F64DD6">
      <w:pPr>
        <w:rPr>
          <w:rFonts w:asciiTheme="minorHAnsi" w:hAnsiTheme="minorHAnsi" w:cs="Calibri"/>
          <w:b/>
          <w:bCs/>
          <w:color w:val="2A87C8"/>
          <w:sz w:val="28"/>
          <w:szCs w:val="28"/>
          <w:lang w:val="pt-BR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Mensagem principal</w:t>
      </w:r>
    </w:p>
    <w:p w14:paraId="533A3251" w14:textId="77777777" w:rsidR="00AC6BE7" w:rsidRDefault="00F64DD6">
      <w:pPr>
        <w:jc w:val="both"/>
        <w:rPr>
          <w:rFonts w:asciiTheme="minorHAnsi" w:hAnsiTheme="minorHAnsi" w:cs="Calibri"/>
          <w:color w:val="2A87C8"/>
          <w:lang w:val="pt-BR"/>
        </w:rPr>
      </w:pPr>
      <w:r>
        <w:rPr>
          <w:rFonts w:cs="Calibri"/>
          <w:color w:val="2A87C8"/>
          <w:lang w:val="pt-BR"/>
        </w:rPr>
        <w:t>Situações desafiadoras em que é difícil defender todos os princípios precisam encontrar um equilíbrio, sustentando os princípios na medida do possível, de</w:t>
      </w:r>
      <w:r>
        <w:rPr>
          <w:rFonts w:cs="Calibri"/>
          <w:color w:val="2A87C8"/>
          <w:lang w:val="pt-BR"/>
        </w:rPr>
        <w:t xml:space="preserve"> acordo com o espírito humanitário.</w:t>
      </w:r>
    </w:p>
    <w:p w14:paraId="533A3252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53" w14:textId="77777777" w:rsidR="00AC6BE7" w:rsidRDefault="00F64DD6">
      <w:pPr>
        <w:jc w:val="both"/>
        <w:rPr>
          <w:rFonts w:asciiTheme="minorHAnsi" w:hAnsiTheme="minorHAnsi" w:cs="Calibri"/>
          <w:b/>
          <w:color w:val="2A87C8"/>
          <w:lang w:val="pt-BR"/>
        </w:rPr>
      </w:pPr>
      <w:r>
        <w:rPr>
          <w:rFonts w:cs="Calibri"/>
          <w:b/>
          <w:bCs/>
          <w:color w:val="2A87C8"/>
          <w:lang w:val="pt-BR"/>
        </w:rPr>
        <w:t>Não causar danos</w:t>
      </w:r>
    </w:p>
    <w:p w14:paraId="533A3254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O princípio “Do No Harm” (Não Causar Danos) desenvolvido por Mary B. Anderson na década de 1990 reconheceu que a ajuda pode se tornar parte ou prolongar a dinâmica de um conflito. Portanto, todas as org</w:t>
      </w:r>
      <w:r>
        <w:rPr>
          <w:rFonts w:cs="Calibri"/>
          <w:lang w:val="pt-BR"/>
        </w:rPr>
        <w:t xml:space="preserve">anizações humanitárias devem se esforçar ativamente para não causar danos e minimizar os danos que possam estar causando inadvertidamente, estando presentes e fornecendo assistência. </w:t>
      </w:r>
    </w:p>
    <w:p w14:paraId="533A3255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56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Um exemplo de medida Não Causar Danos seria a consulta com diferentes s</w:t>
      </w:r>
      <w:r>
        <w:rPr>
          <w:rFonts w:cs="Calibri"/>
          <w:lang w:val="pt-BR"/>
        </w:rPr>
        <w:t>egmentos da população afetada, garantindo, o máximo possível, que a assistência seja prestada em um ambiente seguro. Por exemplo, em relação a acampamentos e estruturas semelhantes a acampamentos, isso significa que os acampamentos e estruturas semelhantes</w:t>
      </w:r>
      <w:r>
        <w:rPr>
          <w:rFonts w:cs="Calibri"/>
          <w:lang w:val="pt-BR"/>
        </w:rPr>
        <w:t xml:space="preserve"> a acampamentos devem ser localizados longe de áreas sujeitas a ataques ou outros perigos. </w:t>
      </w:r>
    </w:p>
    <w:p w14:paraId="533A3257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58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Não Causar Danos nos ajuda a entender mais claramente a complexidade dos ambientes onde trabalhamos. Isso nos ajuda a pensar sobre como diferentes maneiras de agir</w:t>
      </w:r>
      <w:r>
        <w:rPr>
          <w:rFonts w:cs="Calibri"/>
          <w:lang w:val="pt-BR"/>
        </w:rPr>
        <w:t xml:space="preserve"> podem ter efeitos diferentes, como as decisões que tomamos afetam as relações entre grupos e antever as prováveis interações de assistência dentro de um determinado contexto. </w:t>
      </w:r>
    </w:p>
    <w:p w14:paraId="533A3259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5A" w14:textId="77777777" w:rsidR="00AC6BE7" w:rsidRDefault="00F64DD6">
      <w:pPr>
        <w:rPr>
          <w:rStyle w:val="normaltextrun"/>
          <w:rFonts w:asciiTheme="minorHAnsi" w:hAnsiTheme="minorHAnsi" w:cs="Calibri"/>
          <w:b/>
          <w:bCs/>
          <w:color w:val="2A87C8"/>
          <w:sz w:val="28"/>
          <w:szCs w:val="28"/>
          <w:lang w:val="pt-BR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Principais mensagens</w:t>
      </w:r>
    </w:p>
    <w:p w14:paraId="533A325B" w14:textId="77777777" w:rsidR="00AC6BE7" w:rsidRDefault="00F64DD6">
      <w:pPr>
        <w:jc w:val="both"/>
        <w:rPr>
          <w:rFonts w:asciiTheme="minorHAnsi" w:hAnsiTheme="minorHAnsi" w:cs="Calibri"/>
          <w:color w:val="2A87C8"/>
          <w:lang w:val="pt-BR"/>
        </w:rPr>
      </w:pPr>
      <w:r>
        <w:rPr>
          <w:rFonts w:cs="Calibri"/>
          <w:color w:val="2A87C8"/>
          <w:lang w:val="pt-BR"/>
        </w:rPr>
        <w:t xml:space="preserve">Não Causar Danos é o princípio fundamental para </w:t>
      </w:r>
      <w:r>
        <w:rPr>
          <w:rFonts w:cs="Calibri"/>
          <w:color w:val="2A87C8"/>
          <w:lang w:val="pt-BR"/>
        </w:rPr>
        <w:t>aqueles envolvidos na resposta humanitária tomarem medidas para minimizar e evitar QUALQUER efeito adverso de sua intervenção, particularmente expor as pessoas a riscos, perigos ou abuso de seus direitos.</w:t>
      </w:r>
    </w:p>
    <w:p w14:paraId="533A325C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5D" w14:textId="77777777" w:rsidR="00AC6BE7" w:rsidRDefault="00F64DD6">
      <w:pPr>
        <w:jc w:val="both"/>
        <w:rPr>
          <w:rFonts w:asciiTheme="minorHAnsi" w:hAnsiTheme="minorHAnsi" w:cs="Calibri"/>
          <w:b/>
          <w:color w:val="2A87C8"/>
          <w:lang w:val="pt-BR"/>
        </w:rPr>
      </w:pPr>
      <w:r>
        <w:rPr>
          <w:rFonts w:cs="Calibri"/>
          <w:b/>
          <w:bCs/>
          <w:color w:val="2A87C8"/>
          <w:lang w:val="pt-BR"/>
        </w:rPr>
        <w:t>Princípios Humanitários e Princípios de Proteção (</w:t>
      </w:r>
      <w:r>
        <w:rPr>
          <w:rFonts w:cs="Calibri"/>
          <w:b/>
          <w:bCs/>
          <w:color w:val="2A87C8"/>
          <w:lang w:val="pt-BR"/>
        </w:rPr>
        <w:t>Sphere): links</w:t>
      </w:r>
    </w:p>
    <w:p w14:paraId="533A325E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Os padrões do Projeto Sphere são baseados na crença de que as pessoas afetadas por uma crise têm direito à vida com dignidade e assistência, e que todas as medidas possíveis devem ser tomadas para aliviar o sofrimento humano. Os padrões Sphe</w:t>
      </w:r>
      <w:r>
        <w:rPr>
          <w:rFonts w:cs="Calibri"/>
          <w:lang w:val="pt-BR"/>
        </w:rPr>
        <w:t xml:space="preserve">re são padrões mínimos. Uma Agência de Gestão de Acampamento aplica os padrões mínimos do Sphere ao responder às necessidades humanitárias de pessoas deslocadas em um ambiente de acampamento. </w:t>
      </w:r>
    </w:p>
    <w:p w14:paraId="533A325F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60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No entanto, uma Agência de Gestão de Acampamento deve se esfor</w:t>
      </w:r>
      <w:r>
        <w:rPr>
          <w:rFonts w:cs="Calibri"/>
          <w:lang w:val="pt-BR"/>
        </w:rPr>
        <w:t xml:space="preserve">çar para exceder esses padrões mínimos, quando possível e abordar o maior número possível de grupos e suas necessidades específicas. Isso destaca que não se pode assumir que a assistência é uma atividade neutra que afeta a todos da mesma forma. O contexto </w:t>
      </w:r>
      <w:r>
        <w:rPr>
          <w:rFonts w:cs="Calibri"/>
          <w:lang w:val="pt-BR"/>
        </w:rPr>
        <w:t xml:space="preserve">e a maneira pela qual a assistência é prestada afeta o cumprimento ou a observância dos direitos humanos e das necessidades das pessoas afetadas. Uma </w:t>
      </w:r>
      <w:r>
        <w:rPr>
          <w:rFonts w:cs="Calibri"/>
          <w:lang w:val="pt-BR"/>
        </w:rPr>
        <w:lastRenderedPageBreak/>
        <w:t>abordagem baseada em direitos humanos fornece, portanto, a estrutura e os padrões necessários para ativida</w:t>
      </w:r>
      <w:r>
        <w:rPr>
          <w:rFonts w:cs="Calibri"/>
          <w:lang w:val="pt-BR"/>
        </w:rPr>
        <w:t xml:space="preserve">des de assistência humanitária. </w:t>
      </w:r>
    </w:p>
    <w:p w14:paraId="533A3261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62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 xml:space="preserve">O princípio Não Causar Danos forma a base do Princípio de Proteção do Projeto Sphere, incluindo: </w:t>
      </w:r>
    </w:p>
    <w:p w14:paraId="533A3263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64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b/>
          <w:bCs/>
          <w:lang w:val="pt-BR"/>
        </w:rPr>
        <w:t>Princípios de proteção 1:</w:t>
      </w:r>
      <w:r>
        <w:rPr>
          <w:rFonts w:cs="Calibri"/>
          <w:lang w:val="pt-BR"/>
        </w:rPr>
        <w:t xml:space="preserve"> “Melhorar a segurança, dignidade e direitos das pessoas e evitar expô-las a danos.” </w:t>
      </w:r>
    </w:p>
    <w:p w14:paraId="533A3265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66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Exemplos do</w:t>
      </w:r>
      <w:r>
        <w:rPr>
          <w:rFonts w:cs="Calibri"/>
          <w:lang w:val="pt-BR"/>
        </w:rPr>
        <w:t xml:space="preserve"> Princípio de Proteção 1 em ação:</w:t>
      </w:r>
    </w:p>
    <w:p w14:paraId="533A3267" w14:textId="77777777" w:rsidR="00AC6BE7" w:rsidRDefault="00F64DD6">
      <w:pPr>
        <w:pStyle w:val="ListParagraph"/>
        <w:numPr>
          <w:ilvl w:val="0"/>
          <w:numId w:val="5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Consultar os diferentes grupos dentro da população do acampamento para avaliar as consequências positivas e as possíveis consequências negativas da resposta em geral.</w:t>
      </w:r>
    </w:p>
    <w:p w14:paraId="533A3268" w14:textId="77777777" w:rsidR="00AC6BE7" w:rsidRDefault="00F64DD6">
      <w:pPr>
        <w:pStyle w:val="ListParagraph"/>
        <w:numPr>
          <w:ilvl w:val="0"/>
          <w:numId w:val="5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Adaptar as formas de prestação de serviços e assistênci</w:t>
      </w:r>
      <w:r>
        <w:rPr>
          <w:rFonts w:cs="Calibri"/>
          <w:lang w:val="pt-BR"/>
        </w:rPr>
        <w:t>a para minimizar o risco de saque e/ou violência.</w:t>
      </w:r>
    </w:p>
    <w:p w14:paraId="533A3269" w14:textId="77777777" w:rsidR="00AC6BE7" w:rsidRDefault="00F64DD6">
      <w:pPr>
        <w:pStyle w:val="ListParagraph"/>
        <w:numPr>
          <w:ilvl w:val="0"/>
          <w:numId w:val="5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Construir acampamentos e/ou identificar instalações para pessoas deslocadas em áreas longe de conflitos.</w:t>
      </w:r>
    </w:p>
    <w:p w14:paraId="533A326A" w14:textId="77777777" w:rsidR="00AC6BE7" w:rsidRDefault="00F64DD6">
      <w:pPr>
        <w:pStyle w:val="ListParagraph"/>
        <w:numPr>
          <w:ilvl w:val="0"/>
          <w:numId w:val="5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 xml:space="preserve">Garantir acesso seguro e igualitário a assistência e serviços para todos os grupos em </w:t>
      </w:r>
      <w:r>
        <w:rPr>
          <w:rFonts w:cs="Calibri"/>
          <w:lang w:val="pt-BR"/>
        </w:rPr>
        <w:t>acampamentos, para não exacerbar as divisões já existentes na comunidade.</w:t>
      </w:r>
    </w:p>
    <w:p w14:paraId="533A326B" w14:textId="77777777" w:rsidR="00AC6BE7" w:rsidRDefault="00F64DD6">
      <w:pPr>
        <w:pStyle w:val="ListParagraph"/>
        <w:numPr>
          <w:ilvl w:val="0"/>
          <w:numId w:val="5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Planejar a distribuição de assistência de forma a minimizar o roubo.</w:t>
      </w:r>
    </w:p>
    <w:p w14:paraId="533A326C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6D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b/>
          <w:bCs/>
          <w:lang w:val="pt-BR"/>
        </w:rPr>
        <w:t>Princípios de proteção 2:</w:t>
      </w:r>
      <w:r>
        <w:rPr>
          <w:rFonts w:cs="Calibri"/>
          <w:lang w:val="pt-BR"/>
        </w:rPr>
        <w:t xml:space="preserve"> “Garantir o acesso das pessoas à assistência de acordo com a necessidade e sem discrim</w:t>
      </w:r>
      <w:r>
        <w:rPr>
          <w:rFonts w:cs="Calibri"/>
          <w:lang w:val="pt-BR"/>
        </w:rPr>
        <w:t xml:space="preserve">inação.”  </w:t>
      </w:r>
    </w:p>
    <w:p w14:paraId="533A326E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6F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Exemplos do Princípio de Proteção 2 em ação:</w:t>
      </w:r>
    </w:p>
    <w:p w14:paraId="533A3270" w14:textId="77777777" w:rsidR="00AC6BE7" w:rsidRDefault="00F64DD6">
      <w:pPr>
        <w:pStyle w:val="ListParagraph"/>
        <w:numPr>
          <w:ilvl w:val="0"/>
          <w:numId w:val="6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Garantir que a resposta do acampamento proteja os direitos das pessoas marginalizadas.</w:t>
      </w:r>
    </w:p>
    <w:p w14:paraId="533A3271" w14:textId="77777777" w:rsidR="00AC6BE7" w:rsidRDefault="00F64DD6">
      <w:pPr>
        <w:pStyle w:val="ListParagraph"/>
        <w:numPr>
          <w:ilvl w:val="0"/>
          <w:numId w:val="6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Monitorar o acesso da população afetada à assistência humanitária.</w:t>
      </w:r>
    </w:p>
    <w:p w14:paraId="533A3272" w14:textId="13174259" w:rsidR="00AC6BE7" w:rsidRDefault="00F64DD6">
      <w:pPr>
        <w:pStyle w:val="ListParagraph"/>
        <w:numPr>
          <w:ilvl w:val="0"/>
          <w:numId w:val="6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 xml:space="preserve">Construir espaços seguros para sobreviventes </w:t>
      </w:r>
      <w:r>
        <w:rPr>
          <w:rFonts w:cs="Calibri"/>
          <w:lang w:val="pt-BR"/>
        </w:rPr>
        <w:t>de VBG</w:t>
      </w:r>
      <w:r>
        <w:rPr>
          <w:rFonts w:cs="Calibri"/>
          <w:lang w:val="pt-BR"/>
        </w:rPr>
        <w:t xml:space="preserve"> [</w:t>
      </w:r>
      <w:r>
        <w:rPr>
          <w:rFonts w:cs="Calibri"/>
          <w:i/>
          <w:iCs/>
          <w:lang w:val="pt-BR"/>
        </w:rPr>
        <w:t>Gender-Based Violence</w:t>
      </w:r>
      <w:r>
        <w:rPr>
          <w:rFonts w:cs="Calibri"/>
          <w:lang w:val="pt-BR"/>
        </w:rPr>
        <w:t xml:space="preserve"> (Violência baseada em gênero)], evitando a estigmatização.</w:t>
      </w:r>
    </w:p>
    <w:p w14:paraId="533A3273" w14:textId="77777777" w:rsidR="00AC6BE7" w:rsidRDefault="00F64DD6">
      <w:pPr>
        <w:pStyle w:val="ListParagraph"/>
        <w:numPr>
          <w:ilvl w:val="0"/>
          <w:numId w:val="6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Garantir que as pessoas deslocadas não precisem ter uma situação jurídica especial para se beneficiar da assistência e proteção humanitária.</w:t>
      </w:r>
    </w:p>
    <w:p w14:paraId="533A3274" w14:textId="77777777" w:rsidR="00AC6BE7" w:rsidRDefault="00F64DD6">
      <w:pPr>
        <w:pStyle w:val="ListParagraph"/>
        <w:numPr>
          <w:ilvl w:val="0"/>
          <w:numId w:val="6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Ao prestar assistência a p</w:t>
      </w:r>
      <w:r>
        <w:rPr>
          <w:rFonts w:cs="Calibri"/>
          <w:lang w:val="pt-BR"/>
        </w:rPr>
        <w:t>essoas que vivem em acampamentos e estruturas semelhantes a acampamentos, certifique-se de que essa atenção não seja prejudicial a outra população afetada, como a comunidade anfitriã.</w:t>
      </w:r>
    </w:p>
    <w:p w14:paraId="533A3275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76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b/>
          <w:bCs/>
          <w:lang w:val="pt-BR"/>
        </w:rPr>
        <w:t>Princípios de proteção 3:</w:t>
      </w:r>
      <w:r>
        <w:rPr>
          <w:rFonts w:cs="Calibri"/>
          <w:lang w:val="pt-BR"/>
        </w:rPr>
        <w:t xml:space="preserve"> “Ajudar as pessoas a se recuperarem dos efeitos físicos e psicológicos de violência, coerção ou privação deliberada, real ou ameaçada.”  </w:t>
      </w:r>
    </w:p>
    <w:p w14:paraId="533A3277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78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 xml:space="preserve">Exemplos do Princípio de Proteção 3 em ação: </w:t>
      </w:r>
    </w:p>
    <w:p w14:paraId="533A3279" w14:textId="77777777" w:rsidR="00AC6BE7" w:rsidRDefault="00F64D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Implementar medidas para reduzir o risco de violência baseada em gêner</w:t>
      </w:r>
      <w:r>
        <w:rPr>
          <w:rFonts w:cs="Calibri"/>
          <w:lang w:val="pt-BR"/>
        </w:rPr>
        <w:t>o.</w:t>
      </w:r>
    </w:p>
    <w:p w14:paraId="533A327A" w14:textId="77777777" w:rsidR="00AC6BE7" w:rsidRDefault="00F64D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Alertar as forças políticas e de segurança relevantes sobre violações que ocorrem regularmente para que possam impedir violações.</w:t>
      </w:r>
    </w:p>
    <w:p w14:paraId="533A327B" w14:textId="77777777" w:rsidR="00AC6BE7" w:rsidRDefault="00F64D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Apoiar famílias deslocadas em seus esforços para manter as crianças seguras.</w:t>
      </w:r>
    </w:p>
    <w:p w14:paraId="533A327C" w14:textId="77777777" w:rsidR="00AC6BE7" w:rsidRDefault="00F64D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Implementar padrões e instrumentos para preven</w:t>
      </w:r>
      <w:r>
        <w:rPr>
          <w:rFonts w:cs="Calibri"/>
          <w:lang w:val="pt-BR"/>
        </w:rPr>
        <w:t>ir e erradicar a exploração e o abuso sexual.</w:t>
      </w:r>
    </w:p>
    <w:p w14:paraId="533A327D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7E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b/>
          <w:bCs/>
          <w:lang w:val="pt-BR"/>
        </w:rPr>
        <w:t>Princípios de proteção 4:</w:t>
      </w:r>
      <w:r>
        <w:rPr>
          <w:rFonts w:cs="Calibri"/>
          <w:lang w:val="pt-BR"/>
        </w:rPr>
        <w:t xml:space="preserve"> “Ajudar as pessoas a reivindicar seus direitos.”  </w:t>
      </w:r>
    </w:p>
    <w:p w14:paraId="533A327F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80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Exemplos do Princípio de Proteção 4 em ação:</w:t>
      </w:r>
    </w:p>
    <w:p w14:paraId="533A3281" w14:textId="77777777" w:rsidR="00AC6BE7" w:rsidRDefault="00F64DD6">
      <w:pPr>
        <w:pStyle w:val="ListParagraph"/>
        <w:numPr>
          <w:ilvl w:val="0"/>
          <w:numId w:val="8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Após um ataque, um incidente de violência baseada em gênero, ou abusos relacionados, a</w:t>
      </w:r>
      <w:r>
        <w:rPr>
          <w:rFonts w:cs="Calibri"/>
          <w:lang w:val="pt-BR"/>
        </w:rPr>
        <w:t>poiar o acesso das pessoas a cuidados de saúde e reabilitação adequados.</w:t>
      </w:r>
    </w:p>
    <w:p w14:paraId="533A3282" w14:textId="77777777" w:rsidR="00AC6BE7" w:rsidRDefault="00F64DD6">
      <w:pPr>
        <w:pStyle w:val="ListParagraph"/>
        <w:numPr>
          <w:ilvl w:val="0"/>
          <w:numId w:val="8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Encaminhar pessoas que buscam justiça e compensação por perda de propriedade para organizações que possam fornecer tal apoio.</w:t>
      </w:r>
    </w:p>
    <w:p w14:paraId="533A3283" w14:textId="77777777" w:rsidR="00AC6BE7" w:rsidRDefault="00F64DD6">
      <w:pPr>
        <w:pStyle w:val="ListParagraph"/>
        <w:numPr>
          <w:ilvl w:val="0"/>
          <w:numId w:val="8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 xml:space="preserve">Assegurar que a documentação oficial emitida pelas </w:t>
      </w:r>
      <w:r>
        <w:rPr>
          <w:rFonts w:cs="Calibri"/>
          <w:lang w:val="pt-BR"/>
        </w:rPr>
        <w:t>autoridades não determine quem pode receber assistência de organizações humanitárias.</w:t>
      </w:r>
    </w:p>
    <w:p w14:paraId="533A3284" w14:textId="77777777" w:rsidR="00AC6BE7" w:rsidRDefault="00F64DD6">
      <w:pPr>
        <w:pStyle w:val="ListParagraph"/>
        <w:numPr>
          <w:ilvl w:val="0"/>
          <w:numId w:val="8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Informar as pessoas afetadas sobre seus direitos dentro dos programas de assistência e reposta humanitária.</w:t>
      </w:r>
    </w:p>
    <w:p w14:paraId="533A3285" w14:textId="77777777" w:rsidR="00AC6BE7" w:rsidRDefault="00F64DD6">
      <w:pPr>
        <w:pStyle w:val="ListParagraph"/>
        <w:numPr>
          <w:ilvl w:val="0"/>
          <w:numId w:val="8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Trabalhar com as autoridades competentes para obter documentaç</w:t>
      </w:r>
      <w:r>
        <w:rPr>
          <w:rFonts w:cs="Calibri"/>
          <w:lang w:val="pt-BR"/>
        </w:rPr>
        <w:t>ão perdida para os residentes do acampamento.</w:t>
      </w:r>
    </w:p>
    <w:p w14:paraId="533A3286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87" w14:textId="77777777" w:rsidR="00AC6BE7" w:rsidRDefault="00F64DD6">
      <w:pPr>
        <w:rPr>
          <w:rStyle w:val="normaltextrun"/>
          <w:rFonts w:asciiTheme="minorHAnsi" w:hAnsiTheme="minorHAnsi" w:cs="Calibri"/>
          <w:b/>
          <w:bCs/>
          <w:color w:val="2A87C8"/>
          <w:sz w:val="28"/>
          <w:szCs w:val="28"/>
          <w:lang w:val="pt-BR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Mensagem principal</w:t>
      </w:r>
    </w:p>
    <w:p w14:paraId="533A3288" w14:textId="77777777" w:rsidR="00AC6BE7" w:rsidRDefault="00F64DD6">
      <w:pPr>
        <w:jc w:val="both"/>
        <w:rPr>
          <w:rFonts w:asciiTheme="minorHAnsi" w:hAnsiTheme="minorHAnsi" w:cs="Calibri"/>
          <w:color w:val="2A87C8"/>
          <w:lang w:val="pt-BR"/>
        </w:rPr>
      </w:pPr>
      <w:r>
        <w:rPr>
          <w:rFonts w:cs="Calibri"/>
          <w:color w:val="2A87C8"/>
          <w:lang w:val="pt-BR"/>
        </w:rPr>
        <w:t>Os Princípios Humanitários e de Proteção se aplicam a qualquer tipo de crise e, portanto, são fundamentais para estabelecer e manter o acesso às pessoas afetadas, seja em um desastre natural</w:t>
      </w:r>
      <w:r>
        <w:rPr>
          <w:rFonts w:cs="Calibri"/>
          <w:color w:val="2A87C8"/>
          <w:lang w:val="pt-BR"/>
        </w:rPr>
        <w:t xml:space="preserve"> ou em uma emergência complexa, como um conflito armado. O trabalho da equipe de gestão de acampamento móvel e todos os agentes operacionais em resposta ao acampamento devem ser guiados pelos Princípios Humanitários e de Proteção. </w:t>
      </w:r>
    </w:p>
    <w:p w14:paraId="533A3289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8A" w14:textId="77777777" w:rsidR="00AC6BE7" w:rsidRDefault="00F64DD6">
      <w:pPr>
        <w:jc w:val="both"/>
        <w:rPr>
          <w:rFonts w:asciiTheme="minorHAnsi" w:hAnsiTheme="minorHAnsi" w:cs="Calibri"/>
          <w:b/>
          <w:color w:val="2A87C8"/>
          <w:lang w:val="pt-BR"/>
        </w:rPr>
      </w:pPr>
      <w:r>
        <w:rPr>
          <w:rFonts w:cs="Calibri"/>
          <w:b/>
          <w:bCs/>
          <w:color w:val="2A87C8"/>
          <w:lang w:val="pt-BR"/>
        </w:rPr>
        <w:t xml:space="preserve">O Código de Conduta em </w:t>
      </w:r>
      <w:r>
        <w:rPr>
          <w:rFonts w:cs="Calibri"/>
          <w:b/>
          <w:bCs/>
          <w:color w:val="2A87C8"/>
          <w:lang w:val="pt-BR"/>
        </w:rPr>
        <w:t>Ação Humanitária</w:t>
      </w:r>
    </w:p>
    <w:p w14:paraId="533A328B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Adotado em 1994, o Código de Conduta para o Movimento Internacional da Cruz Vermelha e do Crescente Vermelho e organizações não governamentais em socorro a desastres é um conjunto fundamental de princípios orientadores para organizações en</w:t>
      </w:r>
      <w:r>
        <w:rPr>
          <w:rFonts w:cs="Calibri"/>
          <w:lang w:val="pt-BR"/>
        </w:rPr>
        <w:t>volvidas em atividades humanitárias colocarem em prática os princípios humanitários. O Código estabelece dez princípios fundamentais para a ação humanitária e três anexos com recomendações aos governos dos estados afetados, governos doadores e organizações</w:t>
      </w:r>
      <w:r>
        <w:rPr>
          <w:rFonts w:cs="Calibri"/>
          <w:lang w:val="pt-BR"/>
        </w:rPr>
        <w:t xml:space="preserve"> internacionais. </w:t>
      </w:r>
    </w:p>
    <w:p w14:paraId="533A328C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8D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O compromisso com o Código de Conduta por organizações humanitárias individuais busca orientar e proteger os padrões de comportamento dentro de cada organização. Desde o desenvolvimento do Código de Conduta, ocorreram muitos desenvolvime</w:t>
      </w:r>
      <w:r>
        <w:rPr>
          <w:rFonts w:cs="Calibri"/>
          <w:lang w:val="pt-BR"/>
        </w:rPr>
        <w:t xml:space="preserve">ntos em padrões e mecanismos para melhorar a resposta humanitária, no entanto, o código permanece como uma referência fundamental. </w:t>
      </w:r>
    </w:p>
    <w:p w14:paraId="533A328E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8F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O Código de Conduta estabelece padrões de comportamento ético entre a equipe de gestão de acampamentos e qualquer agente de</w:t>
      </w:r>
      <w:r>
        <w:rPr>
          <w:rFonts w:cs="Calibri"/>
          <w:lang w:val="pt-BR"/>
        </w:rPr>
        <w:t xml:space="preserve"> acampamentos que realize trabalho humanitário em um acampamento. O Código segue princípios e diretrizes para a proteção, segurança e privacidade dos residentes do acampamento. O Código não substitui a lei nacional. O Código de Conduta:</w:t>
      </w:r>
    </w:p>
    <w:p w14:paraId="533A3290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91" w14:textId="77777777" w:rsidR="00AC6BE7" w:rsidRDefault="00F64DD6">
      <w:pPr>
        <w:pStyle w:val="ListParagraph"/>
        <w:numPr>
          <w:ilvl w:val="0"/>
          <w:numId w:val="11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É um compromisso f</w:t>
      </w:r>
      <w:r>
        <w:rPr>
          <w:rFonts w:cs="Calibri"/>
          <w:lang w:val="pt-BR"/>
        </w:rPr>
        <w:t>ormal da nossa responsabilidade pelo nosso comportamento.</w:t>
      </w:r>
    </w:p>
    <w:p w14:paraId="533A3292" w14:textId="77777777" w:rsidR="00AC6BE7" w:rsidRDefault="00F64DD6">
      <w:pPr>
        <w:pStyle w:val="ListParagraph"/>
        <w:numPr>
          <w:ilvl w:val="0"/>
          <w:numId w:val="11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lastRenderedPageBreak/>
        <w:t>É um compromisso que não faremos coisas que coloquem outros colegas ou residentes do acampamento em risco de dano.</w:t>
      </w:r>
    </w:p>
    <w:p w14:paraId="533A3293" w14:textId="77777777" w:rsidR="00AC6BE7" w:rsidRDefault="00F64DD6">
      <w:pPr>
        <w:pStyle w:val="ListParagraph"/>
        <w:numPr>
          <w:ilvl w:val="0"/>
          <w:numId w:val="11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Identifica os padrões mínimos de comportamento de todo o pessoal humanitário que tr</w:t>
      </w:r>
      <w:r>
        <w:rPr>
          <w:rFonts w:cs="Calibri"/>
          <w:lang w:val="pt-BR"/>
        </w:rPr>
        <w:t>abalha no acampamento.</w:t>
      </w:r>
    </w:p>
    <w:p w14:paraId="533A3294" w14:textId="77777777" w:rsidR="00AC6BE7" w:rsidRDefault="00F64DD6">
      <w:pPr>
        <w:pStyle w:val="ListParagraph"/>
        <w:numPr>
          <w:ilvl w:val="0"/>
          <w:numId w:val="11"/>
        </w:num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É um código moral, mas não tem força de lei.</w:t>
      </w:r>
    </w:p>
    <w:p w14:paraId="533A3295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96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97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98" w14:textId="77777777" w:rsidR="00AC6BE7" w:rsidRDefault="00F64DD6">
      <w:pPr>
        <w:rPr>
          <w:rStyle w:val="normaltextrun"/>
          <w:rFonts w:asciiTheme="minorHAnsi" w:hAnsiTheme="minorHAnsi" w:cs="Calibri"/>
          <w:b/>
          <w:bCs/>
          <w:color w:val="2A87C8"/>
          <w:sz w:val="28"/>
          <w:szCs w:val="28"/>
          <w:lang w:val="pt-BR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Mensagem principal</w:t>
      </w:r>
    </w:p>
    <w:p w14:paraId="533A3299" w14:textId="77777777" w:rsidR="00AC6BE7" w:rsidRDefault="00F64DD6">
      <w:pPr>
        <w:jc w:val="both"/>
        <w:rPr>
          <w:rFonts w:asciiTheme="minorHAnsi" w:hAnsiTheme="minorHAnsi" w:cs="Calibri"/>
          <w:color w:val="2A87C8"/>
          <w:lang w:val="pt-BR"/>
        </w:rPr>
      </w:pPr>
      <w:r>
        <w:rPr>
          <w:rFonts w:cs="Calibri"/>
          <w:color w:val="2A87C8"/>
          <w:lang w:val="pt-BR"/>
        </w:rPr>
        <w:t xml:space="preserve">Um Código de Conduta (CoC) é fundamental para garantir que a equipe com base em acampamentos reflita a atitude e o comportamento desejados em seu trabalho com as populações afetadas. </w:t>
      </w:r>
    </w:p>
    <w:p w14:paraId="533A329A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9B" w14:textId="77777777" w:rsidR="00AC6BE7" w:rsidRDefault="00F64DD6">
      <w:pPr>
        <w:jc w:val="both"/>
        <w:rPr>
          <w:rFonts w:asciiTheme="minorHAnsi" w:hAnsiTheme="minorHAnsi" w:cs="Calibri"/>
          <w:b/>
          <w:i/>
          <w:lang w:val="pt-BR"/>
        </w:rPr>
      </w:pPr>
      <w:r>
        <w:rPr>
          <w:rFonts w:cs="Calibri"/>
          <w:b/>
          <w:bCs/>
          <w:i/>
          <w:iCs/>
          <w:color w:val="2A87C8"/>
          <w:lang w:val="pt-BR"/>
        </w:rPr>
        <w:t>Usar um Código de Conduta em respostas de ambientes de acampamentos e e</w:t>
      </w:r>
      <w:r>
        <w:rPr>
          <w:rFonts w:cs="Calibri"/>
          <w:b/>
          <w:bCs/>
          <w:i/>
          <w:iCs/>
          <w:color w:val="2A87C8"/>
          <w:lang w:val="pt-BR"/>
        </w:rPr>
        <w:t>struturas semelhantes a acampamentos</w:t>
      </w:r>
    </w:p>
    <w:p w14:paraId="533A329C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Os gerentes e coordenadores de acampamentos, agentes operacionais e voluntários devem compreender e, em seguida, assinar o Código de Conduta declarando seu compromisso de respeitar e promover padrões humanitários e os d</w:t>
      </w:r>
      <w:r>
        <w:rPr>
          <w:rFonts w:cs="Calibri"/>
          <w:lang w:val="pt-BR"/>
        </w:rPr>
        <w:t>ireitos das pessoas afetadas. Todas as pessoas que trabalham em um local de deslocamento, incluindo voluntários, devem ser treinadas sobre o Código de Conduta e sua adesão ao Código deve ser monitorada. O cumprimento da exigência de ter um Código de Condut</w:t>
      </w:r>
      <w:r>
        <w:rPr>
          <w:rFonts w:cs="Calibri"/>
          <w:lang w:val="pt-BR"/>
        </w:rPr>
        <w:t xml:space="preserve">a deve ser um critério para a seleção de todos os prestadores de serviços em respostas nos acampamentos e estruturas semelhantes a acampamentos. </w:t>
      </w:r>
    </w:p>
    <w:p w14:paraId="533A329D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9E" w14:textId="77777777" w:rsidR="00AC6BE7" w:rsidRDefault="00F64DD6">
      <w:pPr>
        <w:rPr>
          <w:rFonts w:asciiTheme="minorHAnsi" w:hAnsiTheme="minorHAnsi" w:cs="Calibri"/>
          <w:b/>
          <w:bCs/>
          <w:color w:val="2A87C8"/>
          <w:sz w:val="28"/>
          <w:szCs w:val="28"/>
          <w:lang w:val="pt-BR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Mensagem principal</w:t>
      </w:r>
    </w:p>
    <w:p w14:paraId="533A329F" w14:textId="77777777" w:rsidR="00AC6BE7" w:rsidRDefault="00F64DD6">
      <w:pPr>
        <w:jc w:val="both"/>
        <w:rPr>
          <w:rFonts w:asciiTheme="minorHAnsi" w:hAnsiTheme="minorHAnsi" w:cs="Calibri"/>
          <w:color w:val="2A87C8"/>
          <w:lang w:val="pt-BR"/>
        </w:rPr>
      </w:pPr>
      <w:r>
        <w:rPr>
          <w:rFonts w:cs="Calibri"/>
          <w:color w:val="2A87C8"/>
          <w:lang w:val="pt-BR"/>
        </w:rPr>
        <w:t xml:space="preserve">Um Código de Conduta pode ser específico da agência, ou a agência pode consultar o </w:t>
      </w:r>
      <w:r>
        <w:rPr>
          <w:rFonts w:cs="Calibri"/>
          <w:color w:val="2A87C8"/>
          <w:lang w:val="pt-BR"/>
        </w:rPr>
        <w:t>Código de Conduta do Movimento da Cruz Vermelha e do Crescente Vermelho. Os Códigos de Conduta estabelecem padrões de comportamento ético entre os funcionários do acampamento e buscam promover maior responsabilidade e transparência para todas as agências q</w:t>
      </w:r>
      <w:r>
        <w:rPr>
          <w:rFonts w:cs="Calibri"/>
          <w:color w:val="2A87C8"/>
          <w:lang w:val="pt-BR"/>
        </w:rPr>
        <w:t>ue trabalham em um ambiente de acampamento. Uma variação desta ferramenta pode ser desenvolvida para orientar o comportamento dos representantes em um cenário de acampamento ou estruturas semelhantes a acampamentos</w:t>
      </w:r>
    </w:p>
    <w:p w14:paraId="533A32A0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A1" w14:textId="77777777" w:rsidR="00AC6BE7" w:rsidRDefault="00F64DD6">
      <w:pPr>
        <w:jc w:val="both"/>
        <w:rPr>
          <w:rFonts w:asciiTheme="minorHAnsi" w:hAnsiTheme="minorHAnsi" w:cs="Calibri"/>
          <w:b/>
          <w:color w:val="2A87C8"/>
          <w:lang w:val="pt-BR"/>
        </w:rPr>
      </w:pPr>
      <w:r>
        <w:rPr>
          <w:rFonts w:cs="Calibri"/>
          <w:b/>
          <w:bCs/>
          <w:color w:val="2A87C8"/>
          <w:lang w:val="pt-BR"/>
        </w:rPr>
        <w:t>Proteção contra abuso e exploração sexua</w:t>
      </w:r>
      <w:r>
        <w:rPr>
          <w:rFonts w:cs="Calibri"/>
          <w:b/>
          <w:bCs/>
          <w:color w:val="2A87C8"/>
          <w:lang w:val="pt-BR"/>
        </w:rPr>
        <w:t>l (PAES)</w:t>
      </w:r>
    </w:p>
    <w:p w14:paraId="533A32A2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A exploração sexual e o abuso na resposta humanitária chegaram ao conhecimento público pela primeira vez com a divulgação de um relatório de uma missão de avaliação conjunta examinando a questão em fevereiro de 2002. A missão conjunta (composta pe</w:t>
      </w:r>
      <w:r>
        <w:rPr>
          <w:rFonts w:cs="Calibri"/>
          <w:lang w:val="pt-BR"/>
        </w:rPr>
        <w:t>lo pessoal da ACNUR-SCFUK) relatou que “crianças refugiadas na Guiné, Libéria e Serra Leoa foram submetidas a abuso e exploração sexual, supostamente por funcionários de ONGs nacionais e internacionais, ONGs e outros órgãos da ONU...” As agências humanitár</w:t>
      </w:r>
      <w:r>
        <w:rPr>
          <w:rFonts w:cs="Calibri"/>
          <w:lang w:val="pt-BR"/>
        </w:rPr>
        <w:t>ias responderam quase que imediatamente com medidas destinadas a prevenir novos abusos, estabelecendo uma força-tarefa interagências com o objetivo de “fortalecer e melhorar a proteção e o cuidado de mulheres e crianças em situações de crise e conflito hum</w:t>
      </w:r>
      <w:r>
        <w:rPr>
          <w:rFonts w:cs="Calibri"/>
          <w:lang w:val="pt-BR"/>
        </w:rPr>
        <w:t xml:space="preserve">anitários...” Em 2008, houve sinais de que a exploração e abuso sexual de beneficiários não apenas continuaram, mas também foram insuficientemente relatados. Em janeiro de 2010, a </w:t>
      </w:r>
      <w:r>
        <w:rPr>
          <w:rFonts w:cs="Calibri"/>
          <w:lang w:val="pt-BR"/>
        </w:rPr>
        <w:lastRenderedPageBreak/>
        <w:t xml:space="preserve">força-tarefa ECHA/ECPS desenvolveu um site dedicado à proteção contra abuso </w:t>
      </w:r>
      <w:r>
        <w:rPr>
          <w:rFonts w:cs="Calibri"/>
          <w:lang w:val="pt-BR"/>
        </w:rPr>
        <w:t xml:space="preserve">e exploração sexual (PAES: </w:t>
      </w:r>
      <w:r>
        <w:fldChar w:fldCharType="begin"/>
      </w:r>
      <w:r w:rsidRPr="00F64DD6">
        <w:rPr>
          <w:lang w:val="pt-BR"/>
        </w:rPr>
        <w:instrText xml:space="preserve"> HYPERLINK "http://www.pseataskforce.org" </w:instrText>
      </w:r>
      <w:r>
        <w:fldChar w:fldCharType="separate"/>
      </w:r>
      <w:r>
        <w:rPr>
          <w:rStyle w:val="Hyperlink"/>
          <w:rFonts w:cs="Calibri"/>
          <w:lang w:val="pt-BR"/>
        </w:rPr>
        <w:t>www.pseataskforce.org</w:t>
      </w:r>
      <w:r>
        <w:rPr>
          <w:rStyle w:val="Hyperlink"/>
          <w:rFonts w:cs="Calibri"/>
          <w:lang w:val="pt-BR"/>
        </w:rPr>
        <w:fldChar w:fldCharType="end"/>
      </w:r>
      <w:r>
        <w:rPr>
          <w:rFonts w:cs="Calibri"/>
          <w:lang w:val="pt-BR"/>
        </w:rPr>
        <w:t>) por pessoal das Nações Unidas (ONU), organizações não governamentais (ONGs) e outras organizações internacionais.</w:t>
      </w:r>
    </w:p>
    <w:p w14:paraId="533A32A3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2"/>
      </w:tblGrid>
      <w:tr w:rsidR="00AC6BE7" w:rsidRPr="00F64DD6" w14:paraId="533A32A5" w14:textId="77777777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33A32A4" w14:textId="77777777" w:rsidR="00AC6BE7" w:rsidRDefault="00F64DD6">
            <w:pPr>
              <w:jc w:val="both"/>
              <w:rPr>
                <w:rFonts w:asciiTheme="minorHAnsi" w:hAnsiTheme="minorHAnsi" w:cs="Calibri"/>
                <w:lang w:val="pt-BR"/>
              </w:rPr>
            </w:pPr>
            <w:r>
              <w:rPr>
                <w:rFonts w:cs="Calibri"/>
                <w:lang w:val="pt-BR"/>
              </w:rPr>
              <w:t xml:space="preserve">“O termo </w:t>
            </w:r>
            <w:r>
              <w:rPr>
                <w:rFonts w:cs="Calibri"/>
                <w:b/>
                <w:bCs/>
                <w:lang w:val="pt-BR"/>
              </w:rPr>
              <w:t>“exploração sexual”</w:t>
            </w:r>
            <w:r>
              <w:rPr>
                <w:rFonts w:cs="Calibri"/>
                <w:lang w:val="pt-BR"/>
              </w:rPr>
              <w:t xml:space="preserve"> significa qualquer tentativa ou abuso real de uma posição de vulnerabilidade, poder diferencial ou confiança, para fins sexuais, incluindo, mas não limitado, a aproveitar monetariamente, social ou politicamente a partir da exploração sexual de outra pesso</w:t>
            </w:r>
            <w:r>
              <w:rPr>
                <w:rFonts w:cs="Calibri"/>
                <w:lang w:val="pt-BR"/>
              </w:rPr>
              <w:t>a.”</w:t>
            </w:r>
          </w:p>
        </w:tc>
      </w:tr>
    </w:tbl>
    <w:p w14:paraId="533A32A6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C6BE7" w14:paraId="533A32A8" w14:textId="77777777">
        <w:tc>
          <w:tcPr>
            <w:tcW w:w="9322" w:type="dxa"/>
            <w:shd w:val="clear" w:color="auto" w:fill="F2F2F2" w:themeFill="background1" w:themeFillShade="F2"/>
          </w:tcPr>
          <w:p w14:paraId="533A32A7" w14:textId="77777777" w:rsidR="00AC6BE7" w:rsidRDefault="00F64DD6">
            <w:pPr>
              <w:jc w:val="both"/>
              <w:rPr>
                <w:rFonts w:asciiTheme="minorHAnsi" w:hAnsiTheme="minorHAnsi" w:cs="Calibri"/>
                <w:lang w:val="pt-BR"/>
              </w:rPr>
            </w:pPr>
            <w:r>
              <w:rPr>
                <w:rFonts w:cs="Calibri"/>
                <w:lang w:val="pt-BR"/>
              </w:rPr>
              <w:t xml:space="preserve">O termo </w:t>
            </w:r>
            <w:r>
              <w:rPr>
                <w:rFonts w:cs="Calibri"/>
                <w:b/>
                <w:bCs/>
                <w:lang w:val="pt-BR"/>
              </w:rPr>
              <w:t>“abuso sexual</w:t>
            </w:r>
            <w:r>
              <w:rPr>
                <w:rFonts w:cs="Calibri"/>
                <w:lang w:val="pt-BR"/>
              </w:rPr>
              <w:t>” significa a invasão física real ou ameaçada de natureza sexual, seja pela força ou em condições desiguais ou coercitivas”. (Boletim do secretário-geral da ONU, 2003).</w:t>
            </w:r>
          </w:p>
        </w:tc>
      </w:tr>
    </w:tbl>
    <w:p w14:paraId="533A32A9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AA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A prevenção da exploração e abuso sexual (PAES) é uma resp</w:t>
      </w:r>
      <w:r>
        <w:rPr>
          <w:rFonts w:cs="Calibri"/>
          <w:lang w:val="pt-BR"/>
        </w:rPr>
        <w:t>onsabilidade compartilhada de toda a comunidade humanitária, incluindo parceiros locais, nacionais, regionais e internacionais.</w:t>
      </w:r>
    </w:p>
    <w:p w14:paraId="533A32AB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AC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As recomendações do IASC [</w:t>
      </w:r>
      <w:r>
        <w:rPr>
          <w:rFonts w:cs="Calibri"/>
          <w:i/>
          <w:iCs/>
          <w:lang w:val="pt-BR"/>
        </w:rPr>
        <w:t>Inter-Agency Standing Committee</w:t>
      </w:r>
      <w:r>
        <w:rPr>
          <w:rFonts w:cs="Calibri"/>
          <w:lang w:val="pt-BR"/>
        </w:rPr>
        <w:t xml:space="preserve"> (Comitê Permanente Interagencial)] forneceram a base do conteúdo do Boletim do secretário-geral da ONU, que se aplica a todos os funcionários da ONU e funcionários de parceiros de implementação. Portanto, reforça as iniciativas locais na medida em que del</w:t>
      </w:r>
      <w:r>
        <w:rPr>
          <w:rFonts w:cs="Calibri"/>
          <w:lang w:val="pt-BR"/>
        </w:rPr>
        <w:t>ineia padrões que são requisitos para todos os funcionários da ONU e funcionários dos parceiros de implementação da ONU.</w:t>
      </w:r>
    </w:p>
    <w:p w14:paraId="533A32AD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AE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Em um esforço para combater a EAS [Exploração e abuso sexuais] em nível global, a ONU adotou medidas para prevenir, relatar, investiga</w:t>
      </w:r>
      <w:r>
        <w:rPr>
          <w:rFonts w:cs="Calibri"/>
          <w:lang w:val="pt-BR"/>
        </w:rPr>
        <w:t>r e impor sanções contra infratores da EAS. Uma dessas medidas foi o desenvolvimento de redes nacionais (</w:t>
      </w:r>
      <w:r>
        <w:rPr>
          <w:rFonts w:cs="Calibri"/>
          <w:i/>
          <w:iCs/>
          <w:lang w:val="pt-BR"/>
        </w:rPr>
        <w:t>In-Country Networks</w:t>
      </w:r>
      <w:r>
        <w:rPr>
          <w:rFonts w:cs="Calibri"/>
          <w:lang w:val="pt-BR"/>
        </w:rPr>
        <w:t>, ICN). Essas redes atuam como o principal órgão para coordenação e supervisão na prevenção e resposta à exploração e abuso sexual n</w:t>
      </w:r>
      <w:r>
        <w:rPr>
          <w:rFonts w:cs="Calibri"/>
          <w:lang w:val="pt-BR"/>
        </w:rPr>
        <w:t xml:space="preserve">o país em que ocorre. </w:t>
      </w:r>
    </w:p>
    <w:p w14:paraId="533A32AF" w14:textId="77777777" w:rsidR="00AC6BE7" w:rsidRDefault="00AC6BE7">
      <w:pPr>
        <w:jc w:val="both"/>
        <w:rPr>
          <w:rFonts w:asciiTheme="minorHAnsi" w:hAnsiTheme="minorHAnsi" w:cs="Calibri"/>
          <w:lang w:val="pt-BR"/>
        </w:rPr>
      </w:pPr>
    </w:p>
    <w:p w14:paraId="533A32B0" w14:textId="77777777" w:rsidR="00AC6BE7" w:rsidRDefault="00F64DD6">
      <w:pPr>
        <w:jc w:val="both"/>
        <w:rPr>
          <w:rFonts w:asciiTheme="minorHAnsi" w:hAnsiTheme="minorHAnsi" w:cs="Calibri"/>
          <w:lang w:val="pt-BR"/>
        </w:rPr>
      </w:pPr>
      <w:r>
        <w:rPr>
          <w:rFonts w:cs="Calibri"/>
          <w:lang w:val="pt-BR"/>
        </w:rPr>
        <w:t>Apesar desses esforços, as intervenções em todos os níveis para prevenir e responder à EAS, que incluem o estabelecimento de relatórios obrigatórios, mecanismo de relatórios e padrões de responsabilidade, continuam sendo tarefas gig</w:t>
      </w:r>
      <w:r>
        <w:rPr>
          <w:rFonts w:cs="Calibri"/>
          <w:lang w:val="pt-BR"/>
        </w:rPr>
        <w:t>antescas para todos.</w:t>
      </w:r>
    </w:p>
    <w:p w14:paraId="533A32B1" w14:textId="77777777" w:rsidR="00AC6BE7" w:rsidRDefault="00AC6BE7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lang w:val="pt-BR"/>
        </w:rPr>
      </w:pPr>
    </w:p>
    <w:p w14:paraId="533A32B2" w14:textId="77777777" w:rsidR="00AC6BE7" w:rsidRDefault="00F64DD6">
      <w:pPr>
        <w:rPr>
          <w:rFonts w:asciiTheme="minorHAnsi" w:hAnsiTheme="minorHAnsi" w:cs="Calibri"/>
          <w:b/>
          <w:bCs/>
          <w:color w:val="2A87C8"/>
          <w:sz w:val="28"/>
          <w:szCs w:val="28"/>
          <w:lang w:val="pt-BR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>Principais mensagens</w:t>
      </w:r>
    </w:p>
    <w:p w14:paraId="533A32B3" w14:textId="77777777" w:rsidR="00AC6BE7" w:rsidRDefault="00F64DD6">
      <w:pPr>
        <w:shd w:val="clear" w:color="auto" w:fill="FFFFFF"/>
        <w:jc w:val="both"/>
        <w:rPr>
          <w:rFonts w:asciiTheme="minorHAnsi" w:hAnsiTheme="minorHAnsi" w:cstheme="minorHAnsi"/>
          <w:color w:val="2A87C8"/>
          <w:lang w:val="pt-BR"/>
        </w:rPr>
      </w:pPr>
      <w:r>
        <w:rPr>
          <w:rFonts w:cs="Calibri"/>
          <w:color w:val="2A87C8"/>
          <w:lang w:val="pt-BR"/>
        </w:rPr>
        <w:t>A exploração e abuso sexuais (EAS) são uma forma de violência baseada em gênero. Representam uma falha catastrófica de proteção. Isso traz danos àqueles que a ONU e seus parceiros (ONGs e organizações internaciona</w:t>
      </w:r>
      <w:r>
        <w:rPr>
          <w:rFonts w:cs="Calibri"/>
          <w:color w:val="2A87C8"/>
          <w:lang w:val="pt-BR"/>
        </w:rPr>
        <w:t>is) são incumbidos de proteger e coloca em risco a reputação dessas organizações. Também viola normas e padrões jurídicos internacionais universalmente reconhecidos.</w:t>
      </w:r>
    </w:p>
    <w:p w14:paraId="533A32B4" w14:textId="77777777" w:rsidR="00AC6BE7" w:rsidRDefault="00AC6BE7">
      <w:pPr>
        <w:shd w:val="clear" w:color="auto" w:fill="FFFFFF"/>
        <w:jc w:val="both"/>
        <w:rPr>
          <w:rFonts w:asciiTheme="minorHAnsi" w:hAnsiTheme="minorHAnsi" w:cstheme="minorHAnsi"/>
          <w:color w:val="2A87C8"/>
          <w:lang w:val="pt-BR"/>
        </w:rPr>
      </w:pPr>
    </w:p>
    <w:p w14:paraId="533A32B5" w14:textId="77777777" w:rsidR="00AC6BE7" w:rsidRDefault="00F64DD6">
      <w:pPr>
        <w:shd w:val="clear" w:color="auto" w:fill="FFFFFF"/>
        <w:jc w:val="both"/>
        <w:rPr>
          <w:rFonts w:asciiTheme="minorHAnsi" w:hAnsiTheme="minorHAnsi" w:cstheme="minorHAnsi"/>
          <w:color w:val="2A87C8"/>
          <w:lang w:val="pt-BR"/>
        </w:rPr>
      </w:pPr>
      <w:r>
        <w:rPr>
          <w:rFonts w:cs="Calibri"/>
          <w:color w:val="2A87C8"/>
          <w:lang w:val="pt-BR"/>
        </w:rPr>
        <w:t>A prevenção da exploração e abuso sexual é uma responsabilidade compartilhada de toda a c</w:t>
      </w:r>
      <w:r>
        <w:rPr>
          <w:rFonts w:cs="Calibri"/>
          <w:color w:val="2A87C8"/>
          <w:lang w:val="pt-BR"/>
        </w:rPr>
        <w:t>omunidade humanitária, incluindo parceiros locais, nacionais, regionais e internacionais.</w:t>
      </w:r>
    </w:p>
    <w:p w14:paraId="533A32B6" w14:textId="77777777" w:rsidR="00AC6BE7" w:rsidRDefault="00AC6BE7">
      <w:pPr>
        <w:shd w:val="clear" w:color="auto" w:fill="FFFFFF"/>
        <w:jc w:val="both"/>
        <w:rPr>
          <w:rFonts w:asciiTheme="minorHAnsi" w:hAnsiTheme="minorHAnsi" w:cstheme="minorHAnsi"/>
          <w:lang w:val="pt-BR"/>
        </w:rPr>
      </w:pPr>
    </w:p>
    <w:p w14:paraId="533A32B7" w14:textId="77777777" w:rsidR="00AC6BE7" w:rsidRDefault="00F64DD6">
      <w:pPr>
        <w:shd w:val="clear" w:color="auto" w:fill="FFFFFF"/>
        <w:jc w:val="both"/>
        <w:rPr>
          <w:rFonts w:asciiTheme="minorHAnsi" w:hAnsiTheme="minorHAnsi" w:cstheme="minorHAnsi"/>
          <w:color w:val="2A87C8"/>
          <w:lang w:val="pt-BR"/>
        </w:rPr>
      </w:pPr>
      <w:r>
        <w:rPr>
          <w:rFonts w:cs="Calibri"/>
          <w:color w:val="2A87C8"/>
          <w:lang w:val="pt-BR"/>
        </w:rPr>
        <w:lastRenderedPageBreak/>
        <w:t>Todos os funcionários que trabalham em um acampamento e em estruturas semelhantes a acampamentos devem ser treinados nos Princípios Humanitários e Não Causar Danos (</w:t>
      </w:r>
      <w:r>
        <w:rPr>
          <w:rFonts w:cs="Calibri"/>
          <w:color w:val="2A87C8"/>
          <w:lang w:val="pt-BR"/>
        </w:rPr>
        <w:t xml:space="preserve">um dos Princípios de Proteção) e assinar e cumprir o Código de Conduta. </w:t>
      </w:r>
    </w:p>
    <w:p w14:paraId="533A32B8" w14:textId="77777777" w:rsidR="00AC6BE7" w:rsidRDefault="00AC6BE7">
      <w:pPr>
        <w:shd w:val="clear" w:color="auto" w:fill="FFFFFF"/>
        <w:jc w:val="both"/>
        <w:rPr>
          <w:rFonts w:asciiTheme="minorHAnsi" w:hAnsiTheme="minorHAnsi" w:cstheme="minorHAnsi"/>
          <w:color w:val="2A87C8"/>
          <w:lang w:val="pt-BR"/>
        </w:rPr>
      </w:pPr>
    </w:p>
    <w:p w14:paraId="533A32B9" w14:textId="77777777" w:rsidR="00AC6BE7" w:rsidRDefault="00F64DD6">
      <w:pPr>
        <w:shd w:val="clear" w:color="auto" w:fill="FFFFFF"/>
        <w:jc w:val="both"/>
        <w:rPr>
          <w:rFonts w:asciiTheme="minorHAnsi" w:hAnsiTheme="minorHAnsi" w:cstheme="minorHAnsi"/>
          <w:color w:val="2A87C8"/>
          <w:lang w:val="pt-BR"/>
        </w:rPr>
      </w:pPr>
      <w:r>
        <w:rPr>
          <w:rFonts w:cs="Calibri"/>
          <w:color w:val="2A87C8"/>
          <w:lang w:val="pt-BR"/>
        </w:rPr>
        <w:t xml:space="preserve">O Código de Conduta exige que o abuso sexual, a exploração de beneficiários e a violação dos princípios humanitários sejam relatados. </w:t>
      </w:r>
    </w:p>
    <w:p w14:paraId="533A32BA" w14:textId="77777777" w:rsidR="00AC6BE7" w:rsidRDefault="00AC6BE7">
      <w:pPr>
        <w:shd w:val="clear" w:color="auto" w:fill="FFFFFF"/>
        <w:jc w:val="both"/>
        <w:rPr>
          <w:rFonts w:asciiTheme="minorHAnsi" w:hAnsiTheme="minorHAnsi" w:cstheme="minorHAnsi"/>
          <w:color w:val="2A87C8"/>
          <w:lang w:val="pt-BR"/>
        </w:rPr>
      </w:pPr>
    </w:p>
    <w:p w14:paraId="533A32BB" w14:textId="77777777" w:rsidR="00AC6BE7" w:rsidRDefault="00F64DD6">
      <w:pPr>
        <w:shd w:val="clear" w:color="auto" w:fill="FFFFFF"/>
        <w:jc w:val="both"/>
        <w:rPr>
          <w:rFonts w:asciiTheme="minorHAnsi" w:hAnsiTheme="minorHAnsi" w:cstheme="minorHAnsi"/>
          <w:color w:val="2A87C8"/>
          <w:lang w:val="pt-BR"/>
        </w:rPr>
        <w:sectPr w:rsidR="00AC6BE7">
          <w:headerReference w:type="default" r:id="rId11"/>
          <w:footerReference w:type="default" r:id="rId12"/>
          <w:pgSz w:w="11906" w:h="16838" w:code="9"/>
          <w:pgMar w:top="2268" w:right="1134" w:bottom="1440" w:left="1134" w:header="720" w:footer="720" w:gutter="0"/>
          <w:cols w:space="720"/>
          <w:docGrid w:linePitch="360"/>
        </w:sectPr>
      </w:pPr>
      <w:r>
        <w:rPr>
          <w:rFonts w:cs="Calibri"/>
          <w:color w:val="2A87C8"/>
          <w:lang w:val="pt-BR"/>
        </w:rPr>
        <w:t xml:space="preserve">A equipe do acampamento deve ser treinada em PAES [Proteção </w:t>
      </w:r>
      <w:r>
        <w:rPr>
          <w:rFonts w:cs="Calibri"/>
          <w:color w:val="2A87C8"/>
          <w:lang w:val="pt-BR"/>
        </w:rPr>
        <w:t>contra abuso e exploração sexual] pelo ponto central de PAES na operação ou no país.</w:t>
      </w:r>
    </w:p>
    <w:p w14:paraId="533A32BC" w14:textId="77777777" w:rsidR="00AC6BE7" w:rsidRDefault="00F64DD6">
      <w:pPr>
        <w:rPr>
          <w:rStyle w:val="normaltextrun"/>
          <w:rFonts w:asciiTheme="minorHAnsi" w:hAnsiTheme="minorHAnsi" w:cs="Calibri"/>
          <w:b/>
          <w:bCs/>
          <w:color w:val="5B9BD5"/>
          <w:sz w:val="28"/>
          <w:szCs w:val="28"/>
          <w:lang w:val="pt-BR"/>
        </w:rPr>
      </w:pPr>
      <w:r>
        <w:rPr>
          <w:rStyle w:val="normaltextrun"/>
          <w:rFonts w:cs="Calibri"/>
          <w:b/>
          <w:bCs/>
          <w:color w:val="5B9BD5"/>
          <w:sz w:val="28"/>
          <w:szCs w:val="28"/>
          <w:lang w:val="pt-BR"/>
        </w:rPr>
        <w:lastRenderedPageBreak/>
        <w:t>Referências e ferramentas</w:t>
      </w:r>
    </w:p>
    <w:p w14:paraId="533A32BD" w14:textId="77777777" w:rsidR="00AC6BE7" w:rsidRDefault="00F64DD6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cs="Calibri"/>
          <w:lang w:val="pt-BR"/>
        </w:rPr>
        <w:t xml:space="preserve">Kit de ferramentas de gestão de acampamento. 2015. </w:t>
      </w:r>
      <w:r>
        <w:rPr>
          <w:rFonts w:asciiTheme="minorHAnsi" w:hAnsiTheme="minorHAnsi" w:cstheme="minorHAnsi"/>
        </w:rPr>
        <w:t>Chapter 1: About Camp Management</w:t>
      </w:r>
      <w:r>
        <w:rPr>
          <w:rFonts w:cs="Calibri"/>
        </w:rPr>
        <w:t xml:space="preserve">. </w:t>
      </w:r>
      <w:hyperlink r:id="rId13" w:history="1">
        <w:r>
          <w:rPr>
            <w:rFonts w:cs="Calibri"/>
            <w:color w:val="0563C1"/>
            <w:u w:val="single"/>
          </w:rPr>
          <w:t>http://cmtoolkit.org/media/transfer/doc/chapter_1.pdf</w:t>
        </w:r>
      </w:hyperlink>
    </w:p>
    <w:p w14:paraId="533A32BE" w14:textId="77777777" w:rsidR="00AC6BE7" w:rsidRDefault="00F64DD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360"/>
        <w:rPr>
          <w:rFonts w:cstheme="minorHAnsi"/>
          <w:color w:val="000000" w:themeColor="text1"/>
        </w:rPr>
      </w:pPr>
      <w:r w:rsidRPr="00F64DD6">
        <w:rPr>
          <w:rFonts w:cs="Calibri"/>
          <w:color w:val="000000"/>
          <w:lang w:val="fr-CA"/>
        </w:rPr>
        <w:t xml:space="preserve">UNOCHA. 2010. OCHA on Message: </w:t>
      </w:r>
      <w:proofErr w:type="spellStart"/>
      <w:r w:rsidRPr="00F64DD6">
        <w:rPr>
          <w:rFonts w:cs="Calibri"/>
          <w:color w:val="000000"/>
          <w:lang w:val="fr-CA"/>
        </w:rPr>
        <w:t>Humanitarian</w:t>
      </w:r>
      <w:proofErr w:type="spellEnd"/>
      <w:r w:rsidRPr="00F64DD6">
        <w:rPr>
          <w:rFonts w:cs="Calibri"/>
          <w:color w:val="000000"/>
          <w:lang w:val="fr-CA"/>
        </w:rPr>
        <w:t xml:space="preserve"> Principles. </w:t>
      </w:r>
      <w:hyperlink r:id="rId14" w:history="1">
        <w:r>
          <w:rPr>
            <w:rFonts w:cs="Calibri"/>
            <w:color w:val="0563C1"/>
            <w:u w:val="single"/>
          </w:rPr>
          <w:t>http://www.unocha.org/sites/dms/Documents/OOM_HumPrinciple_English.pdf</w:t>
        </w:r>
      </w:hyperlink>
    </w:p>
    <w:p w14:paraId="533A32BF" w14:textId="77777777" w:rsidR="00AC6BE7" w:rsidRDefault="00F64DD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360"/>
        <w:rPr>
          <w:rFonts w:cstheme="minorHAnsi"/>
          <w:color w:val="000000" w:themeColor="text1"/>
        </w:rPr>
      </w:pPr>
      <w:r w:rsidRPr="00F64DD6">
        <w:rPr>
          <w:rFonts w:cs="Calibri"/>
          <w:color w:val="000000"/>
          <w:lang w:val="es-419"/>
        </w:rPr>
        <w:t xml:space="preserve">O </w:t>
      </w:r>
      <w:proofErr w:type="spellStart"/>
      <w:r w:rsidRPr="00F64DD6">
        <w:rPr>
          <w:rFonts w:cs="Calibri"/>
          <w:color w:val="000000"/>
          <w:lang w:val="es-419"/>
        </w:rPr>
        <w:t>Projeto</w:t>
      </w:r>
      <w:proofErr w:type="spellEnd"/>
      <w:r w:rsidRPr="00F64DD6">
        <w:rPr>
          <w:rFonts w:cs="Calibri"/>
          <w:color w:val="000000"/>
          <w:lang w:val="es-419"/>
        </w:rPr>
        <w:t xml:space="preserve"> </w:t>
      </w:r>
      <w:proofErr w:type="spellStart"/>
      <w:r w:rsidRPr="00F64DD6">
        <w:rPr>
          <w:rFonts w:cs="Calibri"/>
          <w:color w:val="000000"/>
          <w:lang w:val="es-419"/>
        </w:rPr>
        <w:t>Não</w:t>
      </w:r>
      <w:proofErr w:type="spellEnd"/>
      <w:r w:rsidRPr="00F64DD6">
        <w:rPr>
          <w:rFonts w:cs="Calibri"/>
          <w:color w:val="000000"/>
          <w:lang w:val="es-419"/>
        </w:rPr>
        <w:t xml:space="preserve"> Causar Danos. </w:t>
      </w:r>
      <w:r>
        <w:rPr>
          <w:rFonts w:cs="Calibri"/>
          <w:color w:val="000000"/>
        </w:rPr>
        <w:t xml:space="preserve">2004. The “Do No Harm” Framework for Analyzing the Impact of Assistance on a Conflict: A Handbook. </w:t>
      </w:r>
      <w:hyperlink r:id="rId15" w:history="1">
        <w:r>
          <w:rPr>
            <w:rFonts w:cs="Calibri"/>
            <w:color w:val="0563C1"/>
            <w:u w:val="single"/>
          </w:rPr>
          <w:t>http://cdacollaborative.org/publication/the-do-no-harm-framework-for-analyzing-the-impact-of-assistance-on-conflict-a-handbook/</w:t>
        </w:r>
      </w:hyperlink>
    </w:p>
    <w:p w14:paraId="533A32C0" w14:textId="77777777" w:rsidR="00AC6BE7" w:rsidRDefault="00F64DD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360"/>
        <w:rPr>
          <w:rFonts w:cstheme="minorHAnsi"/>
          <w:color w:val="000000" w:themeColor="text1"/>
        </w:rPr>
      </w:pPr>
      <w:proofErr w:type="spellStart"/>
      <w:r w:rsidRPr="00F64DD6">
        <w:rPr>
          <w:rFonts w:cs="Calibri"/>
          <w:color w:val="000000"/>
          <w:lang w:val="es-419"/>
        </w:rPr>
        <w:t>Movimento</w:t>
      </w:r>
      <w:proofErr w:type="spellEnd"/>
      <w:r w:rsidRPr="00F64DD6">
        <w:rPr>
          <w:rFonts w:cs="Calibri"/>
          <w:color w:val="000000"/>
          <w:lang w:val="es-419"/>
        </w:rPr>
        <w:t xml:space="preserve"> Internacional da Cruz </w:t>
      </w:r>
      <w:proofErr w:type="spellStart"/>
      <w:r w:rsidRPr="00F64DD6">
        <w:rPr>
          <w:rFonts w:cs="Calibri"/>
          <w:color w:val="000000"/>
          <w:lang w:val="es-419"/>
        </w:rPr>
        <w:t>V</w:t>
      </w:r>
      <w:r w:rsidRPr="00F64DD6">
        <w:rPr>
          <w:rFonts w:cs="Calibri"/>
          <w:color w:val="000000"/>
          <w:lang w:val="es-419"/>
        </w:rPr>
        <w:t>ermelha</w:t>
      </w:r>
      <w:proofErr w:type="spellEnd"/>
      <w:r w:rsidRPr="00F64DD6">
        <w:rPr>
          <w:rFonts w:cs="Calibri"/>
          <w:color w:val="000000"/>
          <w:lang w:val="es-419"/>
        </w:rPr>
        <w:t xml:space="preserve"> e do Crescente </w:t>
      </w:r>
      <w:proofErr w:type="spellStart"/>
      <w:r w:rsidRPr="00F64DD6">
        <w:rPr>
          <w:rFonts w:cs="Calibri"/>
          <w:color w:val="000000"/>
          <w:lang w:val="es-419"/>
        </w:rPr>
        <w:t>Vermelho</w:t>
      </w:r>
      <w:proofErr w:type="spellEnd"/>
      <w:r w:rsidRPr="00F64DD6">
        <w:rPr>
          <w:rFonts w:cs="Calibri"/>
          <w:color w:val="000000"/>
          <w:lang w:val="es-419"/>
        </w:rPr>
        <w:t xml:space="preserve">. </w:t>
      </w:r>
      <w:r>
        <w:rPr>
          <w:rFonts w:cs="Calibri"/>
          <w:color w:val="000000"/>
        </w:rPr>
        <w:t xml:space="preserve">1994. Code of Conduct for the International Red Cross and Red Crescent Movement and Non-Governmental Organizations (NGOs) in Disaster Relief. </w:t>
      </w:r>
      <w:hyperlink r:id="rId16" w:history="1">
        <w:r>
          <w:rPr>
            <w:rFonts w:cs="Calibri"/>
            <w:color w:val="0563C1"/>
            <w:u w:val="single"/>
          </w:rPr>
          <w:t>https://www.icrc.org/eng/assets/files/publications/icrc-002-1067.pdf</w:t>
        </w:r>
      </w:hyperlink>
    </w:p>
    <w:p w14:paraId="533A32C1" w14:textId="77777777" w:rsidR="00AC6BE7" w:rsidRDefault="00F64DD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360"/>
        <w:rPr>
          <w:rFonts w:cstheme="minorHAnsi"/>
          <w:color w:val="000000" w:themeColor="text1"/>
        </w:rPr>
      </w:pPr>
      <w:r>
        <w:rPr>
          <w:rFonts w:cs="Calibri"/>
          <w:color w:val="000000"/>
        </w:rPr>
        <w:t xml:space="preserve">Grupo CCCM global. 2016. Protection Mainstreaming Checklist for Camp Coordination &amp; Camp Management. </w:t>
      </w:r>
      <w:hyperlink r:id="rId17" w:history="1">
        <w:r>
          <w:rPr>
            <w:rFonts w:cs="Calibri"/>
            <w:color w:val="0563C1"/>
            <w:u w:val="single"/>
          </w:rPr>
          <w:t>https://data2.</w:t>
        </w:r>
        <w:r>
          <w:rPr>
            <w:rFonts w:cs="Calibri"/>
            <w:color w:val="0563C1"/>
            <w:u w:val="single"/>
          </w:rPr>
          <w:t>unhcr.org/en/documents/download/52227</w:t>
        </w:r>
      </w:hyperlink>
    </w:p>
    <w:p w14:paraId="533A32C2" w14:textId="77777777" w:rsidR="00AC6BE7" w:rsidRPr="00F64DD6" w:rsidRDefault="00F64DD6">
      <w:pPr>
        <w:pStyle w:val="Caption"/>
        <w:numPr>
          <w:ilvl w:val="0"/>
          <w:numId w:val="9"/>
        </w:numPr>
        <w:tabs>
          <w:tab w:val="left" w:pos="5460"/>
        </w:tabs>
        <w:spacing w:before="0" w:after="0" w:line="240" w:lineRule="auto"/>
        <w:ind w:left="360"/>
        <w:rPr>
          <w:rFonts w:asciiTheme="minorHAnsi" w:hAnsiTheme="minorHAnsi" w:cstheme="minorHAnsi"/>
          <w:lang w:val="es-419"/>
        </w:rPr>
      </w:pPr>
      <w:proofErr w:type="spellStart"/>
      <w:r w:rsidRPr="00F64DD6">
        <w:rPr>
          <w:rFonts w:eastAsia="Calibri" w:cs="Calibri"/>
          <w:i w:val="0"/>
          <w:color w:val="000000"/>
          <w:lang w:val="es-419" w:eastAsia="en-US"/>
        </w:rPr>
        <w:t>Força</w:t>
      </w:r>
      <w:proofErr w:type="spellEnd"/>
      <w:r w:rsidRPr="00F64DD6">
        <w:rPr>
          <w:rFonts w:eastAsia="Calibri" w:cs="Calibri"/>
          <w:i w:val="0"/>
          <w:color w:val="000000"/>
          <w:lang w:val="es-419" w:eastAsia="en-US"/>
        </w:rPr>
        <w:t>-tarefa PAES</w:t>
      </w:r>
      <w:r w:rsidRPr="00F64DD6">
        <w:rPr>
          <w:rFonts w:eastAsia="Calibri" w:cs="Calibri"/>
          <w:i w:val="0"/>
          <w:lang w:val="es-419" w:eastAsia="en-US"/>
        </w:rPr>
        <w:t xml:space="preserve">. Página da web de </w:t>
      </w:r>
      <w:proofErr w:type="spellStart"/>
      <w:r w:rsidRPr="00F64DD6">
        <w:rPr>
          <w:rFonts w:eastAsia="Calibri" w:cs="Calibri"/>
          <w:i w:val="0"/>
          <w:lang w:val="es-419" w:eastAsia="en-US"/>
        </w:rPr>
        <w:t>ferramentas</w:t>
      </w:r>
      <w:proofErr w:type="spellEnd"/>
      <w:r w:rsidRPr="00F64DD6">
        <w:rPr>
          <w:rFonts w:eastAsia="Calibri" w:cs="Calibri"/>
          <w:i w:val="0"/>
          <w:lang w:val="es-419" w:eastAsia="en-US"/>
        </w:rPr>
        <w:t>.</w:t>
      </w:r>
    </w:p>
    <w:p w14:paraId="533A32C3" w14:textId="77777777" w:rsidR="00AC6BE7" w:rsidRDefault="00F64DD6">
      <w:pPr>
        <w:pStyle w:val="Caption"/>
        <w:tabs>
          <w:tab w:val="left" w:pos="5460"/>
        </w:tabs>
        <w:spacing w:before="0" w:after="0" w:line="240" w:lineRule="auto"/>
        <w:ind w:left="360"/>
        <w:rPr>
          <w:rFonts w:asciiTheme="minorHAnsi" w:hAnsiTheme="minorHAnsi" w:cstheme="minorHAnsi"/>
        </w:rPr>
      </w:pPr>
      <w:hyperlink r:id="rId18" w:history="1">
        <w:r>
          <w:rPr>
            <w:rFonts w:eastAsia="Calibri" w:cs="Calibri"/>
            <w:i w:val="0"/>
            <w:iCs w:val="0"/>
            <w:color w:val="0563C1"/>
            <w:u w:val="single"/>
          </w:rPr>
          <w:t>http://pseataskforce.org/en/tools</w:t>
        </w:r>
      </w:hyperlink>
    </w:p>
    <w:p w14:paraId="533A32C4" w14:textId="77777777" w:rsidR="00AC6BE7" w:rsidRDefault="00F64DD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360"/>
        <w:rPr>
          <w:rFonts w:cstheme="minorHAnsi"/>
          <w:color w:val="000000" w:themeColor="text1"/>
        </w:rPr>
      </w:pPr>
      <w:proofErr w:type="spellStart"/>
      <w:r w:rsidRPr="00F64DD6">
        <w:rPr>
          <w:rFonts w:cs="Calibri"/>
          <w:color w:val="000000"/>
          <w:lang w:val="es-419"/>
        </w:rPr>
        <w:t>Força</w:t>
      </w:r>
      <w:proofErr w:type="spellEnd"/>
      <w:r w:rsidRPr="00F64DD6">
        <w:rPr>
          <w:rFonts w:cs="Calibri"/>
          <w:color w:val="000000"/>
          <w:lang w:val="es-419"/>
        </w:rPr>
        <w:t xml:space="preserve">-tarefa PAES. 2006. Servir </w:t>
      </w:r>
      <w:proofErr w:type="spellStart"/>
      <w:r w:rsidRPr="00F64DD6">
        <w:rPr>
          <w:rFonts w:cs="Calibri"/>
          <w:color w:val="000000"/>
          <w:lang w:val="es-419"/>
        </w:rPr>
        <w:t>com</w:t>
      </w:r>
      <w:proofErr w:type="spellEnd"/>
      <w:r w:rsidRPr="00F64DD6">
        <w:rPr>
          <w:rFonts w:cs="Calibri"/>
          <w:color w:val="000000"/>
          <w:lang w:val="es-419"/>
        </w:rPr>
        <w:t xml:space="preserve"> </w:t>
      </w:r>
      <w:proofErr w:type="spellStart"/>
      <w:r w:rsidRPr="00F64DD6">
        <w:rPr>
          <w:rFonts w:cs="Calibri"/>
          <w:color w:val="000000"/>
          <w:lang w:val="es-419"/>
        </w:rPr>
        <w:t>orgulho</w:t>
      </w:r>
      <w:proofErr w:type="spellEnd"/>
      <w:r w:rsidRPr="00F64DD6">
        <w:rPr>
          <w:rFonts w:cs="Calibri"/>
          <w:color w:val="000000"/>
          <w:lang w:val="es-419"/>
        </w:rPr>
        <w:t>. Vídeo no YouTube 24:24.</w:t>
      </w:r>
      <w:r w:rsidRPr="00F64DD6">
        <w:rPr>
          <w:lang w:val="es-419"/>
        </w:rPr>
        <w:t xml:space="preserve"> </w:t>
      </w:r>
      <w:hyperlink r:id="rId19" w:history="1">
        <w:r>
          <w:rPr>
            <w:rFonts w:cs="Calibri"/>
            <w:color w:val="0563C1"/>
            <w:u w:val="single"/>
          </w:rPr>
          <w:t>https://www.youtube.com/watch?v=NfMKMCYFgPo</w:t>
        </w:r>
      </w:hyperlink>
    </w:p>
    <w:p w14:paraId="533A32C5" w14:textId="77777777" w:rsidR="00AC6BE7" w:rsidRDefault="00F64DD6">
      <w:pPr>
        <w:pStyle w:val="ListParagraph"/>
        <w:widowControl w:val="0"/>
        <w:autoSpaceDE w:val="0"/>
        <w:autoSpaceDN w:val="0"/>
        <w:adjustRightInd w:val="0"/>
        <w:ind w:left="360"/>
        <w:rPr>
          <w:rStyle w:val="Hyperlink"/>
          <w:rFonts w:cstheme="minorHAnsi"/>
          <w:iCs/>
          <w:lang w:val="pt-BR"/>
        </w:rPr>
      </w:pPr>
      <w:r>
        <w:rPr>
          <w:rFonts w:cs="Calibri"/>
          <w:iCs/>
          <w:color w:val="000000"/>
          <w:lang w:val="pt-BR"/>
        </w:rPr>
        <w:t xml:space="preserve">Disponível em árabe, chinês, francês, espanhol ou russo em </w:t>
      </w:r>
      <w:hyperlink r:id="rId20" w:history="1">
        <w:r>
          <w:rPr>
            <w:rFonts w:cs="Calibri"/>
            <w:iCs/>
            <w:color w:val="0563C1"/>
            <w:u w:val="single"/>
            <w:lang w:val="pt-BR"/>
          </w:rPr>
          <w:t>http://www.pseataskforce.org/</w:t>
        </w:r>
      </w:hyperlink>
    </w:p>
    <w:p w14:paraId="533A32C6" w14:textId="77777777" w:rsidR="00AC6BE7" w:rsidRDefault="00F64DD6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cstheme="minorHAnsi"/>
          <w:iCs/>
          <w:u w:val="single"/>
        </w:rPr>
      </w:pPr>
      <w:r>
        <w:rPr>
          <w:rFonts w:cs="Calibri"/>
          <w:iCs/>
        </w:rPr>
        <w:t xml:space="preserve">Sphere. 2018. The Sphere Handbook: Humanitarian Charter and Minimum Standards in Humanitarian Response. </w:t>
      </w:r>
      <w:hyperlink r:id="rId21" w:history="1">
        <w:r>
          <w:rPr>
            <w:rFonts w:cs="Calibri"/>
            <w:iCs/>
            <w:color w:val="0563C1"/>
            <w:u w:val="single"/>
          </w:rPr>
          <w:t>https://handbook.spherestandards.org/</w:t>
        </w:r>
      </w:hyperlink>
      <w:r>
        <w:rPr>
          <w:rFonts w:cs="Calibri"/>
          <w:iCs/>
        </w:rPr>
        <w:t xml:space="preserve"> </w:t>
      </w:r>
    </w:p>
    <w:p w14:paraId="533A32C7" w14:textId="77777777" w:rsidR="00AC6BE7" w:rsidRDefault="00F64DD6">
      <w:pPr>
        <w:pStyle w:val="Caption"/>
        <w:numPr>
          <w:ilvl w:val="0"/>
          <w:numId w:val="9"/>
        </w:numPr>
        <w:tabs>
          <w:tab w:val="left" w:pos="5460"/>
        </w:tabs>
        <w:spacing w:before="0" w:after="0" w:line="240" w:lineRule="auto"/>
        <w:ind w:left="360"/>
        <w:rPr>
          <w:rFonts w:asciiTheme="minorHAnsi" w:hAnsiTheme="minorHAnsi" w:cstheme="minorHAnsi"/>
        </w:rPr>
      </w:pPr>
      <w:r>
        <w:rPr>
          <w:rFonts w:eastAsia="Calibri" w:cs="Calibri"/>
          <w:i w:val="0"/>
          <w:iCs w:val="0"/>
          <w:color w:val="000000"/>
          <w:lang w:eastAsia="en-US"/>
        </w:rPr>
        <w:t>UN Mission in the Democratic Republic of Congo. Code of Con</w:t>
      </w:r>
      <w:r>
        <w:rPr>
          <w:rFonts w:eastAsia="Calibri" w:cs="Calibri"/>
          <w:i w:val="0"/>
          <w:iCs w:val="0"/>
          <w:color w:val="000000"/>
          <w:lang w:eastAsia="en-US"/>
        </w:rPr>
        <w:t xml:space="preserve">duct on Sexual Exploitation and Sexual Abuse. </w:t>
      </w:r>
      <w:hyperlink r:id="rId22" w:history="1">
        <w:r>
          <w:rPr>
            <w:rFonts w:eastAsia="Calibri" w:cs="Calibri"/>
            <w:i w:val="0"/>
            <w:iCs w:val="0"/>
            <w:color w:val="0563C1"/>
            <w:u w:val="single"/>
            <w:lang w:eastAsia="en-US"/>
          </w:rPr>
          <w:t>http://www.pseataskforce.org/uploads/tools/codeofconductonsea_unmissionindrc_english.pdf</w:t>
        </w:r>
      </w:hyperlink>
    </w:p>
    <w:p w14:paraId="533A32C8" w14:textId="77777777" w:rsidR="00AC6BE7" w:rsidRDefault="00AC6BE7">
      <w:pPr>
        <w:rPr>
          <w:rStyle w:val="normaltextrun"/>
          <w:rFonts w:asciiTheme="minorHAnsi" w:hAnsiTheme="minorHAnsi" w:cs="Calibri"/>
          <w:b/>
          <w:bCs/>
          <w:color w:val="5B9BD5"/>
          <w:sz w:val="28"/>
          <w:szCs w:val="28"/>
          <w:lang w:val="pt-BR"/>
        </w:rPr>
      </w:pPr>
    </w:p>
    <w:p w14:paraId="533A32C9" w14:textId="77777777" w:rsidR="00AC6BE7" w:rsidRDefault="00F64DD6">
      <w:pPr>
        <w:rPr>
          <w:rStyle w:val="normaltextrun"/>
          <w:rFonts w:asciiTheme="minorHAnsi" w:hAnsiTheme="minorHAnsi" w:cs="Calibri"/>
          <w:b/>
          <w:bCs/>
          <w:color w:val="5B9BD5"/>
          <w:sz w:val="28"/>
          <w:szCs w:val="28"/>
          <w:lang w:val="pt-BR"/>
        </w:rPr>
      </w:pPr>
      <w:r>
        <w:rPr>
          <w:rStyle w:val="normaltextrun"/>
          <w:rFonts w:cs="Calibri"/>
          <w:b/>
          <w:bCs/>
          <w:color w:val="5B9BD5"/>
          <w:sz w:val="28"/>
          <w:szCs w:val="28"/>
          <w:lang w:val="pt-BR"/>
        </w:rPr>
        <w:t xml:space="preserve">Acompanhamento </w:t>
      </w:r>
      <w:r>
        <w:rPr>
          <w:rStyle w:val="normaltextrun"/>
          <w:rFonts w:cs="Calibri"/>
          <w:b/>
          <w:bCs/>
          <w:color w:val="5B9BD5"/>
          <w:sz w:val="28"/>
          <w:szCs w:val="28"/>
          <w:lang w:val="pt-BR"/>
        </w:rPr>
        <w:t>operacional (indicadores)</w:t>
      </w:r>
    </w:p>
    <w:p w14:paraId="533A32CA" w14:textId="77777777" w:rsidR="00AC6BE7" w:rsidRDefault="00F64DD6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cstheme="minorHAnsi"/>
          <w:color w:val="000000" w:themeColor="text1"/>
          <w:szCs w:val="22"/>
          <w:lang w:val="pt-BR"/>
        </w:rPr>
      </w:pPr>
      <w:r>
        <w:rPr>
          <w:rFonts w:cs="Calibri"/>
          <w:color w:val="000000"/>
          <w:lang w:val="pt-BR"/>
        </w:rPr>
        <w:t>Todos os funcionários, agentes operacionais em acampamentos e estruturas semelhantes a acampamentos, líderes e representantes comunitários receberam treinamento sobre o Código de Conduta. (S/N)</w:t>
      </w:r>
    </w:p>
    <w:p w14:paraId="533A32CB" w14:textId="77777777" w:rsidR="00AC6BE7" w:rsidRDefault="00F64DD6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cstheme="minorHAnsi"/>
          <w:color w:val="000000" w:themeColor="text1"/>
          <w:szCs w:val="22"/>
          <w:lang w:val="pt-BR"/>
        </w:rPr>
      </w:pPr>
      <w:r>
        <w:rPr>
          <w:rFonts w:cs="Calibri"/>
          <w:color w:val="000000"/>
          <w:lang w:val="pt-BR"/>
        </w:rPr>
        <w:t xml:space="preserve">Todos os funcionários, </w:t>
      </w:r>
      <w:r>
        <w:rPr>
          <w:rFonts w:cs="Calibri"/>
          <w:color w:val="000000"/>
          <w:lang w:val="pt-BR"/>
        </w:rPr>
        <w:t>agentes operacionais em acampamentos e estruturas semelhantes a acampamentos, líderes e representantes comunitários assinaram um Código de Conduta. (S/N)</w:t>
      </w:r>
    </w:p>
    <w:p w14:paraId="533A32CC" w14:textId="77777777" w:rsidR="00AC6BE7" w:rsidRDefault="00F64DD6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cstheme="minorHAnsi"/>
          <w:color w:val="000000" w:themeColor="text1"/>
          <w:szCs w:val="22"/>
          <w:lang w:val="pt-BR"/>
        </w:rPr>
      </w:pPr>
      <w:r>
        <w:rPr>
          <w:rFonts w:cs="Calibri"/>
          <w:color w:val="000000"/>
          <w:lang w:val="pt-BR"/>
        </w:rPr>
        <w:t xml:space="preserve">A avaliação de desempenho do supervisor/análise por pares afirma que a equipe está cumprindo o Código </w:t>
      </w:r>
      <w:r>
        <w:rPr>
          <w:rFonts w:cs="Calibri"/>
          <w:color w:val="000000"/>
          <w:lang w:val="pt-BR"/>
        </w:rPr>
        <w:t>de Conduta. (S/N)</w:t>
      </w:r>
    </w:p>
    <w:p w14:paraId="533A32CD" w14:textId="77777777" w:rsidR="00AC6BE7" w:rsidRDefault="00F64DD6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cstheme="minorHAnsi"/>
          <w:color w:val="000000" w:themeColor="text1"/>
          <w:szCs w:val="22"/>
          <w:lang w:val="pt-BR"/>
        </w:rPr>
      </w:pPr>
      <w:r>
        <w:rPr>
          <w:rFonts w:cs="Calibri"/>
          <w:lang w:val="pt-BR"/>
        </w:rPr>
        <w:t xml:space="preserve">Código de Conduta </w:t>
      </w:r>
      <w:r>
        <w:rPr>
          <w:rFonts w:cs="Calibri"/>
          <w:color w:val="000000"/>
          <w:lang w:val="pt-BR"/>
        </w:rPr>
        <w:t>publicado no quadro de informações. (S/N)</w:t>
      </w:r>
    </w:p>
    <w:p w14:paraId="533A32CE" w14:textId="77777777" w:rsidR="00AC6BE7" w:rsidRDefault="00F64DD6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cstheme="minorHAnsi"/>
          <w:color w:val="000000" w:themeColor="text1"/>
          <w:szCs w:val="22"/>
          <w:lang w:val="pt-BR"/>
        </w:rPr>
      </w:pPr>
      <w:r>
        <w:rPr>
          <w:rFonts w:cs="Calibri"/>
          <w:lang w:val="pt-BR"/>
        </w:rPr>
        <w:t>Os mecanismos de relatório PAES estão em vigor. (S/N)</w:t>
      </w:r>
    </w:p>
    <w:sectPr w:rsidR="00AC6BE7">
      <w:pgSz w:w="11906" w:h="16838" w:code="9"/>
      <w:pgMar w:top="2268" w:right="1134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A32D1" w14:textId="77777777" w:rsidR="00AC6BE7" w:rsidRDefault="00F64DD6">
      <w:r>
        <w:separator/>
      </w:r>
    </w:p>
  </w:endnote>
  <w:endnote w:type="continuationSeparator" w:id="0">
    <w:p w14:paraId="533A32D2" w14:textId="77777777" w:rsidR="00AC6BE7" w:rsidRDefault="00F64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A32D5" w14:textId="77777777" w:rsidR="00AC6BE7" w:rsidRDefault="00AC6BE7">
    <w:pPr>
      <w:pStyle w:val="Footer"/>
      <w:jc w:val="both"/>
      <w:rPr>
        <w:color w:val="2A87C8"/>
        <w:sz w:val="18"/>
      </w:rPr>
    </w:pPr>
  </w:p>
  <w:p w14:paraId="533A32D6" w14:textId="77777777" w:rsidR="00AC6BE7" w:rsidRDefault="00F64DD6">
    <w:pPr>
      <w:pStyle w:val="Footer"/>
      <w:jc w:val="both"/>
      <w:rPr>
        <w:color w:val="2A87C8"/>
        <w:sz w:val="18"/>
        <w:lang w:val="pt-BR"/>
      </w:rPr>
    </w:pPr>
    <w:r>
      <w:rPr>
        <w:color w:val="2A87C8"/>
        <w:sz w:val="18"/>
        <w:szCs w:val="18"/>
        <w:lang w:val="pt-BR"/>
      </w:rPr>
      <w:t xml:space="preserve">Treinamento </w:t>
    </w:r>
    <w:r>
      <w:rPr>
        <w:color w:val="2A87C8"/>
        <w:sz w:val="18"/>
        <w:szCs w:val="18"/>
        <w:lang w:val="pt-BR"/>
      </w:rPr>
      <w:t xml:space="preserve">CCCM      Módulo 3: Princípios Humanitários e Códigos de Conduta    Pasta de Referência     www.globalcccmcluster.com          </w:t>
    </w:r>
  </w:p>
  <w:p w14:paraId="533A32D7" w14:textId="77777777" w:rsidR="00AC6BE7" w:rsidRDefault="00F64DD6">
    <w:pPr>
      <w:pStyle w:val="Footer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2072304613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>
          <w:rPr>
            <w:color w:val="000000" w:themeColor="text1"/>
            <w:sz w:val="22"/>
          </w:rPr>
          <w:fldChar w:fldCharType="begin"/>
        </w:r>
        <w:r>
          <w:rPr>
            <w:color w:val="000000" w:themeColor="text1"/>
            <w:sz w:val="22"/>
          </w:rPr>
          <w:instrText xml:space="preserve"> PAGE   \* MERGEFORMAT </w:instrText>
        </w:r>
        <w:r>
          <w:rPr>
            <w:color w:val="000000" w:themeColor="text1"/>
            <w:sz w:val="22"/>
          </w:rPr>
          <w:fldChar w:fldCharType="separate"/>
        </w:r>
        <w:r>
          <w:rPr>
            <w:noProof/>
            <w:color w:val="000000" w:themeColor="text1"/>
            <w:sz w:val="22"/>
          </w:rPr>
          <w:t>1</w:t>
        </w:r>
        <w:r>
          <w:rPr>
            <w:noProof/>
            <w:color w:val="000000" w:themeColor="text1"/>
            <w:sz w:val="22"/>
          </w:rPr>
          <w:fldChar w:fldCharType="end"/>
        </w:r>
      </w:sdtContent>
    </w:sdt>
  </w:p>
  <w:p w14:paraId="533A32D8" w14:textId="77777777" w:rsidR="00AC6BE7" w:rsidRDefault="00AC6B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A32CF" w14:textId="77777777" w:rsidR="00AC6BE7" w:rsidRDefault="00F64DD6">
      <w:r>
        <w:separator/>
      </w:r>
    </w:p>
  </w:footnote>
  <w:footnote w:type="continuationSeparator" w:id="0">
    <w:p w14:paraId="533A32D0" w14:textId="77777777" w:rsidR="00AC6BE7" w:rsidRDefault="00F64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A32D3" w14:textId="77777777" w:rsidR="00AC6BE7" w:rsidRDefault="00F64DD6">
    <w:pPr>
      <w:spacing w:line="276" w:lineRule="auto"/>
      <w:rPr>
        <w:rFonts w:asciiTheme="minorHAnsi" w:hAnsiTheme="minorHAnsi" w:cs="Calibri"/>
        <w:b/>
        <w:sz w:val="36"/>
        <w:szCs w:val="36"/>
        <w:lang w:val="en-GB"/>
      </w:rPr>
    </w:pPr>
    <w:r>
      <w:rPr>
        <w:rFonts w:cs="Calibri"/>
        <w:b/>
        <w:bCs/>
        <w:sz w:val="36"/>
        <w:szCs w:val="36"/>
        <w:lang w:val="pt-BR"/>
      </w:rPr>
      <w:t xml:space="preserve">Pasta de referência </w:t>
    </w:r>
    <w:r>
      <w:rPr>
        <w:rFonts w:ascii="Cambria" w:hAnsi="Cambria"/>
        <w:noProof/>
        <w:lang w:eastAsia="zh-TW"/>
      </w:rPr>
      <w:drawing>
        <wp:anchor distT="0" distB="0" distL="114300" distR="114300" simplePos="0" relativeHeight="251658240" behindDoc="1" locked="0" layoutInCell="1" allowOverlap="1" wp14:anchorId="533A32D9" wp14:editId="533A32DA">
          <wp:simplePos x="0" y="0"/>
          <wp:positionH relativeFrom="page">
            <wp:posOffset>914400</wp:posOffset>
          </wp:positionH>
          <wp:positionV relativeFrom="page">
            <wp:posOffset>634365</wp:posOffset>
          </wp:positionV>
          <wp:extent cx="5941695" cy="759460"/>
          <wp:effectExtent l="0" t="0" r="1905" b="2540"/>
          <wp:wrapThrough wrapText="bothSides">
            <wp:wrapPolygon edited="0">
              <wp:start x="18075" y="0"/>
              <wp:lineTo x="16967" y="0"/>
              <wp:lineTo x="16551" y="2167"/>
              <wp:lineTo x="16621" y="8669"/>
              <wp:lineTo x="0" y="13003"/>
              <wp:lineTo x="0" y="14629"/>
              <wp:lineTo x="16551" y="17338"/>
              <wp:lineTo x="16482" y="21130"/>
              <wp:lineTo x="20291" y="21130"/>
              <wp:lineTo x="20222" y="17338"/>
              <wp:lineTo x="21538" y="14629"/>
              <wp:lineTo x="21538" y="13003"/>
              <wp:lineTo x="20291" y="7585"/>
              <wp:lineTo x="20153" y="3793"/>
              <wp:lineTo x="19876" y="0"/>
              <wp:lineTo x="18075" y="0"/>
            </wp:wrapPolygon>
          </wp:wrapThrough>
          <wp:docPr id="2" name="Picture 2" descr="Papel timbrado A4 CC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8904354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4169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3A32D4" w14:textId="77777777" w:rsidR="00AC6BE7" w:rsidRDefault="00AC6B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C0BB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E092B"/>
    <w:multiLevelType w:val="hybridMultilevel"/>
    <w:tmpl w:val="DDBE752E"/>
    <w:lvl w:ilvl="0" w:tplc="08A4D4E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A7E1C0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104B87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F6600A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1565E7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362630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3989F3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A3205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1FA494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3A6D9D"/>
    <w:multiLevelType w:val="hybridMultilevel"/>
    <w:tmpl w:val="D1762D88"/>
    <w:lvl w:ilvl="0" w:tplc="1D606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12F1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B0CA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648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B8B3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269B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FC2B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A05F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DC9B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5710D"/>
    <w:multiLevelType w:val="hybridMultilevel"/>
    <w:tmpl w:val="BAA60D7E"/>
    <w:lvl w:ilvl="0" w:tplc="923C6C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943C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A8D0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6BB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6E17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0A90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06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17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2E7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77E21"/>
    <w:multiLevelType w:val="hybridMultilevel"/>
    <w:tmpl w:val="13AABC6A"/>
    <w:lvl w:ilvl="0" w:tplc="16EC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3623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B6CB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9CA8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26D8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4AC5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5AB0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821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2C61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32072"/>
    <w:multiLevelType w:val="hybridMultilevel"/>
    <w:tmpl w:val="F8A0C210"/>
    <w:lvl w:ilvl="0" w:tplc="43A22A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1AAD99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7C4D28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6BE629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C1EEDF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0BEDDE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388A7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95C45C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1E45D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011652"/>
    <w:multiLevelType w:val="hybridMultilevel"/>
    <w:tmpl w:val="F120E73E"/>
    <w:lvl w:ilvl="0" w:tplc="EB105D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4BA76D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31A745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C6800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8DC04D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12E405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7DCAD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7BC475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7F8300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E512A2"/>
    <w:multiLevelType w:val="hybridMultilevel"/>
    <w:tmpl w:val="E4E01372"/>
    <w:lvl w:ilvl="0" w:tplc="B9E2A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4C0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A24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4A50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26F8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4A6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48B1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014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B434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5A3418"/>
    <w:multiLevelType w:val="hybridMultilevel"/>
    <w:tmpl w:val="841A4B28"/>
    <w:lvl w:ilvl="0" w:tplc="C5F839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0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7AFB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AE16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7CFA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4A18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505C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6E3C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AA2F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3123BA"/>
    <w:multiLevelType w:val="hybridMultilevel"/>
    <w:tmpl w:val="BE8464D0"/>
    <w:lvl w:ilvl="0" w:tplc="F41C57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05CD5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556CA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A22D6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1FC53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8605F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A3AD31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F4EECA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1062EC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90686E"/>
    <w:multiLevelType w:val="multilevel"/>
    <w:tmpl w:val="2B723C4E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7B4F570F"/>
    <w:multiLevelType w:val="hybridMultilevel"/>
    <w:tmpl w:val="3582260C"/>
    <w:lvl w:ilvl="0" w:tplc="C75EF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3A48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AE70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ADE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8869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BAF8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430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AAAB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EE0B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9F5216"/>
    <w:multiLevelType w:val="hybridMultilevel"/>
    <w:tmpl w:val="95847984"/>
    <w:lvl w:ilvl="0" w:tplc="6D62D0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19C2E0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4F2E0C9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6307DA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EECA1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2C6C8D6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6E8D8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F10E0B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EA58D4C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9"/>
  </w:num>
  <w:num w:numId="5">
    <w:abstractNumId w:val="3"/>
  </w:num>
  <w:num w:numId="6">
    <w:abstractNumId w:val="11"/>
  </w:num>
  <w:num w:numId="7">
    <w:abstractNumId w:val="2"/>
  </w:num>
  <w:num w:numId="8">
    <w:abstractNumId w:val="7"/>
  </w:num>
  <w:num w:numId="9">
    <w:abstractNumId w:val="4"/>
  </w:num>
  <w:num w:numId="10">
    <w:abstractNumId w:val="5"/>
  </w:num>
  <w:num w:numId="11">
    <w:abstractNumId w:val="8"/>
  </w:num>
  <w:num w:numId="12">
    <w:abstractNumId w:val="1"/>
  </w:num>
  <w:num w:numId="1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BE7"/>
    <w:rsid w:val="00AC6BE7"/>
    <w:rsid w:val="00F6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A32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="Calibri Light" w:eastAsia="MS Gothic" w:hAnsi="Calibri Light"/>
      <w:color w:val="2E74B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normaltextrun">
    <w:name w:val="normaltextrun"/>
  </w:style>
  <w:style w:type="character" w:customStyle="1" w:styleId="Heading1Char">
    <w:name w:val="Heading 1 Char"/>
    <w:basedOn w:val="DefaultParagraphFont"/>
    <w:link w:val="Heading1"/>
    <w:uiPriority w:val="9"/>
    <w:rPr>
      <w:rFonts w:ascii="Calibri Light" w:eastAsia="MS Gothic" w:hAnsi="Calibri Light" w:cs="Times New Roman"/>
      <w:color w:val="2E74B5"/>
      <w:sz w:val="24"/>
      <w:szCs w:val="24"/>
    </w:rPr>
  </w:style>
  <w:style w:type="paragraph" w:customStyle="1" w:styleId="NoteLevel21">
    <w:name w:val="Note Level 21"/>
    <w:basedOn w:val="Normal"/>
    <w:uiPriority w:val="99"/>
    <w:unhideWhenUsed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unhideWhenUsed/>
    <w:rPr>
      <w:color w:val="0563C1"/>
      <w:u w:val="single"/>
    </w:rPr>
  </w:style>
  <w:style w:type="paragraph" w:styleId="NormalWeb">
    <w:name w:val="Normal (Web)"/>
    <w:basedOn w:val="Normal"/>
    <w:uiPriority w:val="99"/>
    <w:pPr>
      <w:spacing w:beforeLines="1" w:afterLines="1"/>
    </w:pPr>
    <w:rPr>
      <w:rFonts w:ascii="Times" w:hAnsi="Times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Calibri" w:eastAsia="Calibri" w:hAnsi="Calibri" w:cs="Times New Roman"/>
      <w:sz w:val="24"/>
      <w:szCs w:val="24"/>
    </w:rPr>
  </w:style>
  <w:style w:type="character" w:styleId="FootnoteReference">
    <w:name w:val="footnote reference"/>
    <w:uiPriority w:val="99"/>
    <w:unhideWhenUsed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customStyle="1" w:styleId="CCCMcontentheading2">
    <w:name w:val="CCCM_content_heading2"/>
    <w:basedOn w:val="Heading2"/>
    <w:next w:val="Normal"/>
    <w:link w:val="CCCMcontentheading2Char"/>
    <w:qFormat/>
    <w:pPr>
      <w:spacing w:before="240" w:after="120"/>
    </w:pPr>
    <w:rPr>
      <w:rFonts w:ascii="Calibri" w:eastAsia="Times New Roman" w:hAnsi="Calibri" w:cs="Times New Roman"/>
      <w:b/>
      <w:bCs/>
      <w:color w:val="000000"/>
      <w:sz w:val="32"/>
      <w:lang w:eastAsia="x-none"/>
    </w:rPr>
  </w:style>
  <w:style w:type="character" w:customStyle="1" w:styleId="CCCMcontentheading2Char">
    <w:name w:val="CCCM_content_heading2 Char"/>
    <w:link w:val="CCCMcontentheading2"/>
    <w:rPr>
      <w:rFonts w:ascii="Calibri" w:eastAsia="Times New Roman" w:hAnsi="Calibri" w:cs="Times New Roman"/>
      <w:b/>
      <w:bCs/>
      <w:color w:val="000000"/>
      <w:sz w:val="32"/>
      <w:szCs w:val="26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paragraph" w:styleId="Caption">
    <w:name w:val="caption"/>
    <w:basedOn w:val="Normal"/>
    <w:qFormat/>
    <w:pPr>
      <w:suppressLineNumbers/>
      <w:suppressAutoHyphens/>
      <w:spacing w:before="120" w:after="120" w:line="276" w:lineRule="auto"/>
    </w:pPr>
    <w:rPr>
      <w:rFonts w:eastAsia="Times New Roman" w:cs="Lucida Sans"/>
      <w:i/>
      <w:iCs/>
      <w:lang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cmtoolkit.org/media/transfer/doc/chapter_1.pdf" TargetMode="External"/><Relationship Id="rId18" Type="http://schemas.openxmlformats.org/officeDocument/2006/relationships/hyperlink" Target="http://pseataskforce.org/en/tool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handbook.spherestandards.org/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data2.unhcr.org/en/documents/download/5222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crc.org/eng/assets/files/publications/icrc-002-1067.pdf" TargetMode="External"/><Relationship Id="rId20" Type="http://schemas.openxmlformats.org/officeDocument/2006/relationships/hyperlink" Target="http://www.pseataskforce.org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cdacollaborative.org/publication/the-do-no-harm-framework-for-analyzing-the-impact-of-assistance-on-conflict-a-handbook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NfMKMCYFgP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nocha.org/sites/dms/Documents/OOM_HumPrinciple_English.pdf" TargetMode="External"/><Relationship Id="rId22" Type="http://schemas.openxmlformats.org/officeDocument/2006/relationships/hyperlink" Target="http://www.pseataskforce.org/uploads/tools/codeofconductonsea_unmissionindrc_english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2eb3475-e0f4-42fd-ab5c-abe08d673cdb">
      <UserInfo>
        <DisplayName/>
        <AccountId xsi:nil="true"/>
        <AccountType/>
      </UserInfo>
    </SharedWithUsers>
    <Comments xmlns="4d2685e0-3ec3-4526-a337-bc02c6b3961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11" ma:contentTypeDescription="Create a new document." ma:contentTypeScope="" ma:versionID="2ef782eddbab00ccf93dbf903bc501e4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7c26a57195524376ee1e0a67bd2b6c5d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7A36D-B880-4E0B-8A77-89CF696407AE}">
  <ds:schemaRefs>
    <ds:schemaRef ds:uri="http://purl.org/dc/dcmitype/"/>
    <ds:schemaRef ds:uri="4d2685e0-3ec3-4526-a337-bc02c6b3961c"/>
    <ds:schemaRef ds:uri="72eb3475-e0f4-42fd-ab5c-abe08d673cd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7B12CB-C37A-4D7D-BCBB-A9DE02F607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4ACD87-66C9-4851-A276-98A152313AD8}">
  <ds:schemaRefs/>
</ds:datastoreItem>
</file>

<file path=customXml/itemProps4.xml><?xml version="1.0" encoding="utf-8"?>
<ds:datastoreItem xmlns:ds="http://schemas.openxmlformats.org/officeDocument/2006/customXml" ds:itemID="{0A5C860B-7E9B-4D8C-A6AC-C8E8284AE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3184</Words>
  <Characters>18150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US0823953</dc:title>
  <dc:creator/>
  <cp:lastModifiedBy/>
  <cp:revision>3</cp:revision>
  <cp:lastPrinted>2018-09-13T11:16:00Z</cp:lastPrinted>
  <dcterms:created xsi:type="dcterms:W3CDTF">2019-01-18T15:13:00Z</dcterms:created>
  <dcterms:modified xsi:type="dcterms:W3CDTF">2020-11-23T22:16:00Z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12</vt:lpwstr>
  </property>
  <property fmtid="{D5CDD505-2E9C-101B-9397-08002B2CF9AE}" pid="3" name="ComplianceAssetId">
    <vt:lpwstr/>
  </property>
  <property fmtid="{D5CDD505-2E9C-101B-9397-08002B2CF9AE}" pid="4" name="ContentTypeId">
    <vt:lpwstr>0x0101002311F0AB4D861F4989F82902B990608D</vt:lpwstr>
  </property>
  <property fmtid="{D5CDD505-2E9C-101B-9397-08002B2CF9AE}" pid="5" name="Order">
    <vt:r8>604500</vt:r8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xd_Signature">
    <vt:bool>false</vt:bool>
  </property>
</Properties>
</file>